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6CE" w:rsidRDefault="000816CE">
      <w:pPr>
        <w:pStyle w:val="aa"/>
        <w:widowControl/>
        <w:spacing w:before="0" w:beforeAutospacing="0" w:after="0" w:afterAutospacing="0"/>
        <w:jc w:val="both"/>
        <w:rPr>
          <w:rStyle w:val="ad"/>
          <w:rFonts w:eastAsia="黑体" w:hint="eastAsia"/>
          <w:b w:val="0"/>
          <w:bCs/>
          <w:color w:val="000000" w:themeColor="text1"/>
          <w:spacing w:val="8"/>
          <w:sz w:val="32"/>
          <w:shd w:val="clear" w:color="auto" w:fill="FFFFFF"/>
        </w:rPr>
      </w:pPr>
    </w:p>
    <w:p w:rsidR="000816CE" w:rsidRDefault="000816CE">
      <w:pPr>
        <w:pStyle w:val="aa"/>
        <w:widowControl/>
        <w:spacing w:before="0" w:beforeAutospacing="0" w:after="0" w:afterAutospacing="0"/>
        <w:jc w:val="both"/>
        <w:rPr>
          <w:rStyle w:val="ad"/>
          <w:rFonts w:eastAsia="黑体"/>
          <w:b w:val="0"/>
          <w:bCs/>
          <w:color w:val="000000" w:themeColor="text1"/>
          <w:spacing w:val="8"/>
          <w:sz w:val="32"/>
          <w:shd w:val="clear" w:color="auto" w:fill="FFFFFF"/>
        </w:rPr>
      </w:pPr>
    </w:p>
    <w:p w:rsidR="000816CE" w:rsidRDefault="000816CE">
      <w:pPr>
        <w:pStyle w:val="aa"/>
        <w:widowControl/>
        <w:spacing w:before="0" w:beforeAutospacing="0" w:after="0" w:afterAutospacing="0"/>
        <w:jc w:val="both"/>
        <w:rPr>
          <w:rStyle w:val="ad"/>
          <w:rFonts w:eastAsia="黑体"/>
          <w:b w:val="0"/>
          <w:bCs/>
          <w:color w:val="000000" w:themeColor="text1"/>
          <w:spacing w:val="8"/>
          <w:sz w:val="32"/>
          <w:shd w:val="clear" w:color="auto" w:fill="FFFFFF"/>
        </w:rPr>
      </w:pPr>
    </w:p>
    <w:p w:rsidR="000816CE" w:rsidRDefault="000816CE">
      <w:pPr>
        <w:pStyle w:val="aa"/>
        <w:widowControl/>
        <w:spacing w:before="0" w:beforeAutospacing="0" w:after="0" w:afterAutospacing="0"/>
        <w:jc w:val="both"/>
        <w:rPr>
          <w:rStyle w:val="ad"/>
          <w:rFonts w:eastAsia="黑体"/>
          <w:b w:val="0"/>
          <w:bCs/>
          <w:color w:val="000000" w:themeColor="text1"/>
          <w:spacing w:val="8"/>
          <w:sz w:val="32"/>
          <w:shd w:val="clear" w:color="auto" w:fill="FFFFFF"/>
        </w:rPr>
      </w:pPr>
    </w:p>
    <w:p w:rsidR="000816CE" w:rsidRDefault="000816CE">
      <w:pPr>
        <w:pStyle w:val="aa"/>
        <w:widowControl/>
        <w:spacing w:before="0" w:beforeAutospacing="0" w:after="0" w:afterAutospacing="0"/>
        <w:ind w:firstLine="532"/>
        <w:jc w:val="both"/>
        <w:rPr>
          <w:rFonts w:eastAsia="Microsoft YaHei UI"/>
          <w:color w:val="000000" w:themeColor="text1"/>
          <w:spacing w:val="8"/>
          <w:sz w:val="25"/>
          <w:szCs w:val="25"/>
        </w:rPr>
      </w:pPr>
    </w:p>
    <w:p w:rsidR="000816CE" w:rsidRDefault="000816CE">
      <w:pPr>
        <w:ind w:firstLine="880"/>
        <w:jc w:val="center"/>
        <w:rPr>
          <w:rFonts w:eastAsia="方正小标宋简体"/>
          <w:bCs/>
          <w:color w:val="000000" w:themeColor="text1"/>
          <w:sz w:val="44"/>
          <w:szCs w:val="44"/>
        </w:rPr>
      </w:pPr>
    </w:p>
    <w:p w:rsidR="000816CE" w:rsidRDefault="000816CE">
      <w:pPr>
        <w:ind w:firstLine="880"/>
        <w:jc w:val="center"/>
        <w:rPr>
          <w:rFonts w:eastAsia="方正小标宋简体"/>
          <w:bCs/>
          <w:color w:val="000000" w:themeColor="text1"/>
          <w:sz w:val="44"/>
          <w:szCs w:val="44"/>
        </w:rPr>
      </w:pPr>
    </w:p>
    <w:p w:rsidR="000816CE" w:rsidRDefault="00FC7BEB">
      <w:pPr>
        <w:ind w:firstLineChars="0" w:firstLine="0"/>
        <w:jc w:val="center"/>
        <w:rPr>
          <w:rFonts w:eastAsia="黑体"/>
          <w:color w:val="000000" w:themeColor="text1"/>
          <w:sz w:val="28"/>
          <w:szCs w:val="28"/>
        </w:rPr>
      </w:pPr>
      <w:bookmarkStart w:id="0" w:name="_GoBack"/>
      <w:bookmarkEnd w:id="0"/>
      <w:r>
        <w:rPr>
          <w:rFonts w:eastAsia="黑体" w:hint="eastAsia"/>
          <w:bCs/>
          <w:color w:val="000000" w:themeColor="text1"/>
          <w:sz w:val="44"/>
          <w:szCs w:val="44"/>
        </w:rPr>
        <w:t>莆田</w:t>
      </w:r>
      <w:r>
        <w:rPr>
          <w:rFonts w:eastAsia="黑体"/>
          <w:bCs/>
          <w:color w:val="000000" w:themeColor="text1"/>
          <w:sz w:val="44"/>
          <w:szCs w:val="44"/>
        </w:rPr>
        <w:t>市</w:t>
      </w:r>
      <w:r>
        <w:rPr>
          <w:rFonts w:eastAsia="黑体" w:hint="eastAsia"/>
          <w:bCs/>
          <w:color w:val="000000" w:themeColor="text1"/>
          <w:sz w:val="44"/>
          <w:szCs w:val="44"/>
        </w:rPr>
        <w:t>“</w:t>
      </w:r>
      <w:r>
        <w:rPr>
          <w:rFonts w:eastAsia="黑体"/>
          <w:bCs/>
          <w:color w:val="000000" w:themeColor="text1"/>
          <w:sz w:val="44"/>
          <w:szCs w:val="44"/>
        </w:rPr>
        <w:t>十四五</w:t>
      </w:r>
      <w:r>
        <w:rPr>
          <w:rFonts w:eastAsia="黑体" w:hint="eastAsia"/>
          <w:bCs/>
          <w:color w:val="000000" w:themeColor="text1"/>
          <w:sz w:val="44"/>
          <w:szCs w:val="44"/>
        </w:rPr>
        <w:t>”现代</w:t>
      </w:r>
      <w:r>
        <w:rPr>
          <w:rFonts w:eastAsia="黑体"/>
          <w:bCs/>
          <w:color w:val="000000" w:themeColor="text1"/>
          <w:sz w:val="44"/>
          <w:szCs w:val="44"/>
        </w:rPr>
        <w:t>服务业专项规划</w:t>
      </w:r>
    </w:p>
    <w:p w:rsidR="000816CE" w:rsidRDefault="00FC7BEB">
      <w:pPr>
        <w:ind w:firstLineChars="0" w:firstLine="0"/>
        <w:jc w:val="center"/>
        <w:rPr>
          <w:rFonts w:eastAsia="黑体"/>
          <w:bCs/>
          <w:color w:val="000000" w:themeColor="text1"/>
          <w:sz w:val="36"/>
          <w:szCs w:val="44"/>
        </w:rPr>
      </w:pPr>
      <w:r>
        <w:rPr>
          <w:rFonts w:eastAsia="黑体" w:hint="eastAsia"/>
          <w:bCs/>
          <w:color w:val="000000" w:themeColor="text1"/>
          <w:sz w:val="36"/>
          <w:szCs w:val="44"/>
        </w:rPr>
        <w:t>（</w:t>
      </w:r>
      <w:r>
        <w:rPr>
          <w:rFonts w:eastAsia="黑体" w:hint="eastAsia"/>
          <w:bCs/>
          <w:color w:val="000000" w:themeColor="text1"/>
          <w:sz w:val="36"/>
          <w:szCs w:val="44"/>
        </w:rPr>
        <w:t>征求意见稿</w:t>
      </w:r>
      <w:r>
        <w:rPr>
          <w:rFonts w:eastAsia="黑体" w:hint="eastAsia"/>
          <w:bCs/>
          <w:color w:val="000000" w:themeColor="text1"/>
          <w:sz w:val="36"/>
          <w:szCs w:val="44"/>
        </w:rPr>
        <w:t>）</w:t>
      </w:r>
    </w:p>
    <w:p w:rsidR="000816CE" w:rsidRDefault="000816CE">
      <w:pPr>
        <w:ind w:firstLine="560"/>
        <w:jc w:val="center"/>
        <w:rPr>
          <w:rFonts w:eastAsia="楷体_GB2312"/>
          <w:color w:val="000000" w:themeColor="text1"/>
          <w:sz w:val="28"/>
          <w:szCs w:val="28"/>
        </w:rPr>
      </w:pPr>
    </w:p>
    <w:p w:rsidR="000816CE" w:rsidRDefault="000816CE">
      <w:pPr>
        <w:ind w:firstLine="560"/>
        <w:jc w:val="center"/>
        <w:rPr>
          <w:rFonts w:eastAsia="楷体_GB2312"/>
          <w:color w:val="000000" w:themeColor="text1"/>
          <w:sz w:val="28"/>
          <w:szCs w:val="28"/>
        </w:rPr>
      </w:pPr>
    </w:p>
    <w:p w:rsidR="000816CE" w:rsidRDefault="000816CE">
      <w:pPr>
        <w:ind w:firstLine="640"/>
        <w:jc w:val="center"/>
        <w:rPr>
          <w:color w:val="000000" w:themeColor="text1"/>
        </w:rPr>
      </w:pPr>
    </w:p>
    <w:p w:rsidR="000816CE" w:rsidRDefault="00FC7BEB" w:rsidP="006C0D30">
      <w:pPr>
        <w:spacing w:beforeLines="50" w:afterLines="50"/>
        <w:ind w:firstLine="640"/>
        <w:jc w:val="left"/>
        <w:rPr>
          <w:color w:val="000000" w:themeColor="text1"/>
        </w:rPr>
      </w:pPr>
      <w:r>
        <w:rPr>
          <w:color w:val="000000" w:themeColor="text1"/>
        </w:rPr>
        <w:t xml:space="preserve">                                </w:t>
      </w:r>
    </w:p>
    <w:p w:rsidR="000816CE" w:rsidRDefault="00FC7BEB" w:rsidP="006C0D30">
      <w:pPr>
        <w:spacing w:beforeLines="50" w:afterLines="50"/>
        <w:ind w:firstLine="640"/>
        <w:rPr>
          <w:color w:val="000000" w:themeColor="text1"/>
        </w:rPr>
      </w:pPr>
      <w:r>
        <w:rPr>
          <w:color w:val="000000" w:themeColor="text1"/>
        </w:rPr>
        <w:t xml:space="preserve">                    </w:t>
      </w:r>
    </w:p>
    <w:p w:rsidR="000816CE" w:rsidRDefault="00FC7BEB" w:rsidP="006C0D30">
      <w:pPr>
        <w:spacing w:beforeLines="50" w:afterLines="50"/>
        <w:ind w:firstLine="640"/>
        <w:rPr>
          <w:color w:val="000000" w:themeColor="text1"/>
        </w:rPr>
      </w:pPr>
      <w:r>
        <w:rPr>
          <w:color w:val="000000" w:themeColor="text1"/>
        </w:rPr>
        <w:t xml:space="preserve">                    </w:t>
      </w:r>
    </w:p>
    <w:p w:rsidR="000816CE" w:rsidRDefault="000816CE" w:rsidP="006C0D30">
      <w:pPr>
        <w:spacing w:beforeLines="50" w:afterLines="50"/>
        <w:ind w:firstLine="640"/>
        <w:rPr>
          <w:color w:val="000000" w:themeColor="text1"/>
        </w:rPr>
      </w:pPr>
    </w:p>
    <w:p w:rsidR="000816CE" w:rsidRDefault="000816CE" w:rsidP="006C0D30">
      <w:pPr>
        <w:spacing w:beforeLines="50" w:afterLines="50"/>
        <w:ind w:firstLine="640"/>
        <w:rPr>
          <w:color w:val="000000" w:themeColor="text1"/>
        </w:rPr>
      </w:pPr>
    </w:p>
    <w:p w:rsidR="000816CE" w:rsidRDefault="00FC7BEB">
      <w:pPr>
        <w:ind w:firstLineChars="0" w:firstLine="0"/>
        <w:jc w:val="center"/>
        <w:rPr>
          <w:rFonts w:eastAsia="仿宋_GB2312"/>
          <w:b/>
          <w:color w:val="000000" w:themeColor="text1"/>
        </w:rPr>
      </w:pPr>
      <w:r>
        <w:rPr>
          <w:rFonts w:eastAsia="仿宋_GB2312" w:hint="eastAsia"/>
          <w:b/>
          <w:color w:val="000000" w:themeColor="text1"/>
        </w:rPr>
        <w:t>莆田市商务局</w:t>
      </w:r>
    </w:p>
    <w:p w:rsidR="000816CE" w:rsidRDefault="00FC7BEB">
      <w:pPr>
        <w:ind w:firstLineChars="0" w:firstLine="0"/>
        <w:jc w:val="center"/>
        <w:rPr>
          <w:rFonts w:eastAsia="仿宋_GB2312"/>
          <w:b/>
          <w:color w:val="000000" w:themeColor="text1"/>
        </w:rPr>
      </w:pPr>
      <w:r>
        <w:rPr>
          <w:rFonts w:eastAsia="仿宋_GB2312" w:hint="eastAsia"/>
          <w:b/>
          <w:color w:val="000000" w:themeColor="text1"/>
        </w:rPr>
        <w:t>福建省电子信息应用技术研究院</w:t>
      </w:r>
    </w:p>
    <w:p w:rsidR="000816CE" w:rsidRDefault="00FC7BEB">
      <w:pPr>
        <w:ind w:firstLineChars="0" w:firstLine="0"/>
        <w:jc w:val="center"/>
        <w:rPr>
          <w:rFonts w:eastAsia="仿宋_GB2312"/>
          <w:b/>
          <w:color w:val="000000" w:themeColor="text1"/>
        </w:rPr>
        <w:sectPr w:rsidR="000816CE">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702" w:left="1800" w:header="851" w:footer="992" w:gutter="0"/>
          <w:cols w:space="720"/>
          <w:docGrid w:type="lines" w:linePitch="312"/>
        </w:sectPr>
      </w:pPr>
      <w:r>
        <w:rPr>
          <w:rFonts w:eastAsia="仿宋_GB2312"/>
          <w:b/>
          <w:color w:val="000000" w:themeColor="text1"/>
        </w:rPr>
        <w:t>二〇二一年七月</w:t>
      </w:r>
    </w:p>
    <w:sdt>
      <w:sdtPr>
        <w:rPr>
          <w:rFonts w:ascii="宋体" w:eastAsia="宋体" w:hAnsi="宋体"/>
          <w:sz w:val="21"/>
        </w:rPr>
        <w:id w:val="147463057"/>
        <w:docPartObj>
          <w:docPartGallery w:val="Table of Contents"/>
          <w:docPartUnique/>
        </w:docPartObj>
      </w:sdtPr>
      <w:sdtEndPr>
        <w:rPr>
          <w:b/>
        </w:rPr>
      </w:sdtEndPr>
      <w:sdtContent>
        <w:p w:rsidR="000816CE" w:rsidRDefault="00FC7BEB">
          <w:pPr>
            <w:spacing w:line="240" w:lineRule="auto"/>
            <w:ind w:firstLineChars="0" w:firstLine="0"/>
            <w:jc w:val="center"/>
            <w:rPr>
              <w:rFonts w:ascii="黑体" w:eastAsia="黑体" w:hAnsi="黑体" w:cs="黑体"/>
              <w:sz w:val="40"/>
              <w:szCs w:val="40"/>
            </w:rPr>
          </w:pPr>
          <w:r>
            <w:rPr>
              <w:rFonts w:ascii="黑体" w:eastAsia="黑体" w:hAnsi="黑体" w:cs="黑体" w:hint="eastAsia"/>
              <w:sz w:val="40"/>
              <w:szCs w:val="40"/>
            </w:rPr>
            <w:t>目录</w:t>
          </w:r>
        </w:p>
        <w:p w:rsidR="000816CE" w:rsidRDefault="000816CE">
          <w:pPr>
            <w:ind w:firstLine="640"/>
          </w:pPr>
        </w:p>
        <w:p w:rsidR="000816CE" w:rsidRDefault="000816CE">
          <w:pPr>
            <w:pStyle w:val="WPSOffice1"/>
            <w:tabs>
              <w:tab w:val="right" w:leader="dot" w:pos="8868"/>
            </w:tabs>
            <w:rPr>
              <w:b/>
              <w:sz w:val="30"/>
              <w:szCs w:val="30"/>
            </w:rPr>
          </w:pPr>
          <w:r w:rsidRPr="000816CE">
            <w:fldChar w:fldCharType="begin"/>
          </w:r>
          <w:r w:rsidR="00FC7BEB">
            <w:instrText xml:space="preserve">TOC \o "1-2" \h \u </w:instrText>
          </w:r>
          <w:r w:rsidRPr="000816CE">
            <w:fldChar w:fldCharType="separate"/>
          </w:r>
          <w:hyperlink w:anchor="_Toc11941" w:history="1">
            <w:r w:rsidR="00FC7BEB">
              <w:rPr>
                <w:rFonts w:ascii="黑体" w:hAnsi="黑体" w:cs="黑体" w:hint="eastAsia"/>
                <w:b/>
                <w:sz w:val="30"/>
                <w:szCs w:val="30"/>
              </w:rPr>
              <w:t>前</w:t>
            </w:r>
            <w:r w:rsidR="00FC7BEB">
              <w:rPr>
                <w:rFonts w:ascii="黑体" w:hAnsi="黑体" w:cs="黑体" w:hint="eastAsia"/>
                <w:b/>
                <w:sz w:val="30"/>
                <w:szCs w:val="30"/>
              </w:rPr>
              <w:t xml:space="preserve">  </w:t>
            </w:r>
            <w:r w:rsidR="00FC7BEB">
              <w:rPr>
                <w:rFonts w:ascii="黑体" w:hAnsi="黑体" w:cs="黑体" w:hint="eastAsia"/>
                <w:b/>
                <w:sz w:val="30"/>
                <w:szCs w:val="30"/>
              </w:rPr>
              <w:t>言</w:t>
            </w:r>
            <w:r w:rsidR="00FC7BEB">
              <w:rPr>
                <w:b/>
                <w:sz w:val="30"/>
                <w:szCs w:val="30"/>
              </w:rPr>
              <w:tab/>
            </w:r>
            <w:r>
              <w:rPr>
                <w:b/>
                <w:sz w:val="30"/>
                <w:szCs w:val="30"/>
              </w:rPr>
              <w:fldChar w:fldCharType="begin"/>
            </w:r>
            <w:r w:rsidR="00FC7BEB">
              <w:rPr>
                <w:b/>
                <w:sz w:val="30"/>
                <w:szCs w:val="30"/>
              </w:rPr>
              <w:instrText xml:space="preserve"> PAGEREF _Toc11941 \h </w:instrText>
            </w:r>
            <w:r>
              <w:rPr>
                <w:b/>
                <w:sz w:val="30"/>
                <w:szCs w:val="30"/>
              </w:rPr>
            </w:r>
            <w:r>
              <w:rPr>
                <w:b/>
                <w:sz w:val="30"/>
                <w:szCs w:val="30"/>
              </w:rPr>
              <w:fldChar w:fldCharType="separate"/>
            </w:r>
            <w:r w:rsidR="00FC7BEB">
              <w:rPr>
                <w:b/>
                <w:sz w:val="30"/>
                <w:szCs w:val="30"/>
              </w:rPr>
              <w:t>2</w:t>
            </w:r>
            <w:r>
              <w:rPr>
                <w:b/>
                <w:sz w:val="30"/>
                <w:szCs w:val="30"/>
              </w:rPr>
              <w:fldChar w:fldCharType="end"/>
            </w:r>
          </w:hyperlink>
        </w:p>
        <w:p w:rsidR="000816CE" w:rsidRDefault="000816CE">
          <w:pPr>
            <w:pStyle w:val="WPSOffice1"/>
            <w:tabs>
              <w:tab w:val="right" w:leader="dot" w:pos="8868"/>
            </w:tabs>
            <w:rPr>
              <w:b/>
              <w:sz w:val="30"/>
              <w:szCs w:val="30"/>
            </w:rPr>
          </w:pPr>
          <w:hyperlink w:anchor="_Toc21397" w:history="1">
            <w:r w:rsidR="00FC7BEB">
              <w:rPr>
                <w:rFonts w:hint="eastAsia"/>
                <w:b/>
                <w:sz w:val="30"/>
                <w:szCs w:val="30"/>
              </w:rPr>
              <w:t>第一章</w:t>
            </w:r>
            <w:r w:rsidR="00FC7BEB">
              <w:rPr>
                <w:rFonts w:hint="eastAsia"/>
                <w:b/>
                <w:sz w:val="30"/>
                <w:szCs w:val="30"/>
              </w:rPr>
              <w:t xml:space="preserve"> </w:t>
            </w:r>
            <w:r w:rsidR="00FC7BEB">
              <w:rPr>
                <w:rFonts w:hint="eastAsia"/>
                <w:b/>
                <w:sz w:val="30"/>
                <w:szCs w:val="30"/>
              </w:rPr>
              <w:t>发展环境</w:t>
            </w:r>
            <w:r w:rsidR="00FC7BEB">
              <w:rPr>
                <w:b/>
                <w:sz w:val="30"/>
                <w:szCs w:val="30"/>
              </w:rPr>
              <w:tab/>
            </w:r>
            <w:r>
              <w:rPr>
                <w:b/>
                <w:sz w:val="30"/>
                <w:szCs w:val="30"/>
              </w:rPr>
              <w:fldChar w:fldCharType="begin"/>
            </w:r>
            <w:r w:rsidR="00FC7BEB">
              <w:rPr>
                <w:b/>
                <w:sz w:val="30"/>
                <w:szCs w:val="30"/>
              </w:rPr>
              <w:instrText xml:space="preserve"> PAGEREF _Toc21397 \h </w:instrText>
            </w:r>
            <w:r>
              <w:rPr>
                <w:b/>
                <w:sz w:val="30"/>
                <w:szCs w:val="30"/>
              </w:rPr>
            </w:r>
            <w:r>
              <w:rPr>
                <w:b/>
                <w:sz w:val="30"/>
                <w:szCs w:val="30"/>
              </w:rPr>
              <w:fldChar w:fldCharType="separate"/>
            </w:r>
            <w:r w:rsidR="00FC7BEB">
              <w:rPr>
                <w:b/>
                <w:sz w:val="30"/>
                <w:szCs w:val="30"/>
              </w:rPr>
              <w:t>4</w:t>
            </w:r>
            <w:r>
              <w:rPr>
                <w:b/>
                <w:sz w:val="30"/>
                <w:szCs w:val="30"/>
              </w:rPr>
              <w:fldChar w:fldCharType="end"/>
            </w:r>
          </w:hyperlink>
        </w:p>
        <w:p w:rsidR="000816CE" w:rsidRDefault="000816CE">
          <w:pPr>
            <w:pStyle w:val="WPSOffice2"/>
            <w:tabs>
              <w:tab w:val="right" w:leader="dot" w:pos="8868"/>
            </w:tabs>
            <w:ind w:left="640"/>
            <w:rPr>
              <w:sz w:val="30"/>
              <w:szCs w:val="30"/>
            </w:rPr>
          </w:pPr>
          <w:hyperlink w:anchor="_Toc27506" w:history="1">
            <w:r w:rsidR="00FC7BEB">
              <w:rPr>
                <w:sz w:val="30"/>
                <w:szCs w:val="30"/>
              </w:rPr>
              <w:t>（一）发展基础</w:t>
            </w:r>
            <w:r w:rsidR="00FC7BEB">
              <w:rPr>
                <w:sz w:val="30"/>
                <w:szCs w:val="30"/>
              </w:rPr>
              <w:tab/>
            </w:r>
            <w:r>
              <w:rPr>
                <w:sz w:val="30"/>
                <w:szCs w:val="30"/>
              </w:rPr>
              <w:fldChar w:fldCharType="begin"/>
            </w:r>
            <w:r w:rsidR="00FC7BEB">
              <w:rPr>
                <w:sz w:val="30"/>
                <w:szCs w:val="30"/>
              </w:rPr>
              <w:instrText xml:space="preserve"> PAGEREF _Toc27506 \h </w:instrText>
            </w:r>
            <w:r>
              <w:rPr>
                <w:sz w:val="30"/>
                <w:szCs w:val="30"/>
              </w:rPr>
            </w:r>
            <w:r>
              <w:rPr>
                <w:sz w:val="30"/>
                <w:szCs w:val="30"/>
              </w:rPr>
              <w:fldChar w:fldCharType="separate"/>
            </w:r>
            <w:r w:rsidR="00FC7BEB">
              <w:rPr>
                <w:sz w:val="30"/>
                <w:szCs w:val="30"/>
              </w:rPr>
              <w:t>4</w:t>
            </w:r>
            <w:r>
              <w:rPr>
                <w:sz w:val="30"/>
                <w:szCs w:val="30"/>
              </w:rPr>
              <w:fldChar w:fldCharType="end"/>
            </w:r>
          </w:hyperlink>
        </w:p>
        <w:p w:rsidR="000816CE" w:rsidRDefault="000816CE">
          <w:pPr>
            <w:pStyle w:val="WPSOffice2"/>
            <w:tabs>
              <w:tab w:val="right" w:leader="dot" w:pos="8868"/>
            </w:tabs>
            <w:ind w:left="640"/>
            <w:rPr>
              <w:sz w:val="30"/>
              <w:szCs w:val="30"/>
            </w:rPr>
          </w:pPr>
          <w:hyperlink w:anchor="_Toc9024" w:history="1">
            <w:r w:rsidR="00FC7BEB">
              <w:rPr>
                <w:sz w:val="30"/>
                <w:szCs w:val="30"/>
              </w:rPr>
              <w:t>（二）存在问题</w:t>
            </w:r>
            <w:r w:rsidR="00FC7BEB">
              <w:rPr>
                <w:sz w:val="30"/>
                <w:szCs w:val="30"/>
              </w:rPr>
              <w:tab/>
            </w:r>
            <w:r>
              <w:rPr>
                <w:sz w:val="30"/>
                <w:szCs w:val="30"/>
              </w:rPr>
              <w:fldChar w:fldCharType="begin"/>
            </w:r>
            <w:r w:rsidR="00FC7BEB">
              <w:rPr>
                <w:sz w:val="30"/>
                <w:szCs w:val="30"/>
              </w:rPr>
              <w:instrText xml:space="preserve"> PAGEREF _Toc9024 \h </w:instrText>
            </w:r>
            <w:r>
              <w:rPr>
                <w:sz w:val="30"/>
                <w:szCs w:val="30"/>
              </w:rPr>
            </w:r>
            <w:r>
              <w:rPr>
                <w:sz w:val="30"/>
                <w:szCs w:val="30"/>
              </w:rPr>
              <w:fldChar w:fldCharType="separate"/>
            </w:r>
            <w:r w:rsidR="00FC7BEB">
              <w:rPr>
                <w:sz w:val="30"/>
                <w:szCs w:val="30"/>
              </w:rPr>
              <w:t>9</w:t>
            </w:r>
            <w:r>
              <w:rPr>
                <w:sz w:val="30"/>
                <w:szCs w:val="30"/>
              </w:rPr>
              <w:fldChar w:fldCharType="end"/>
            </w:r>
          </w:hyperlink>
        </w:p>
        <w:p w:rsidR="000816CE" w:rsidRDefault="000816CE">
          <w:pPr>
            <w:pStyle w:val="WPSOffice2"/>
            <w:tabs>
              <w:tab w:val="right" w:leader="dot" w:pos="8868"/>
            </w:tabs>
            <w:ind w:left="640"/>
            <w:rPr>
              <w:sz w:val="30"/>
              <w:szCs w:val="30"/>
            </w:rPr>
          </w:pPr>
          <w:hyperlink w:anchor="_Toc854" w:history="1">
            <w:r w:rsidR="00FC7BEB">
              <w:rPr>
                <w:sz w:val="30"/>
                <w:szCs w:val="30"/>
              </w:rPr>
              <w:t>（三）发展形势</w:t>
            </w:r>
            <w:r w:rsidR="00FC7BEB">
              <w:rPr>
                <w:sz w:val="30"/>
                <w:szCs w:val="30"/>
              </w:rPr>
              <w:tab/>
            </w:r>
            <w:r>
              <w:rPr>
                <w:sz w:val="30"/>
                <w:szCs w:val="30"/>
              </w:rPr>
              <w:fldChar w:fldCharType="begin"/>
            </w:r>
            <w:r w:rsidR="00FC7BEB">
              <w:rPr>
                <w:sz w:val="30"/>
                <w:szCs w:val="30"/>
              </w:rPr>
              <w:instrText xml:space="preserve"> PAGEREF _Toc854 \h </w:instrText>
            </w:r>
            <w:r>
              <w:rPr>
                <w:sz w:val="30"/>
                <w:szCs w:val="30"/>
              </w:rPr>
            </w:r>
            <w:r>
              <w:rPr>
                <w:sz w:val="30"/>
                <w:szCs w:val="30"/>
              </w:rPr>
              <w:fldChar w:fldCharType="separate"/>
            </w:r>
            <w:r w:rsidR="00FC7BEB">
              <w:rPr>
                <w:sz w:val="30"/>
                <w:szCs w:val="30"/>
              </w:rPr>
              <w:t>11</w:t>
            </w:r>
            <w:r>
              <w:rPr>
                <w:sz w:val="30"/>
                <w:szCs w:val="30"/>
              </w:rPr>
              <w:fldChar w:fldCharType="end"/>
            </w:r>
          </w:hyperlink>
        </w:p>
        <w:p w:rsidR="000816CE" w:rsidRDefault="000816CE">
          <w:pPr>
            <w:pStyle w:val="WPSOffice1"/>
            <w:tabs>
              <w:tab w:val="right" w:leader="dot" w:pos="8868"/>
            </w:tabs>
            <w:rPr>
              <w:b/>
              <w:sz w:val="30"/>
              <w:szCs w:val="30"/>
            </w:rPr>
          </w:pPr>
          <w:hyperlink w:anchor="_Toc31622" w:history="1">
            <w:r w:rsidR="00FC7BEB">
              <w:rPr>
                <w:rFonts w:hint="eastAsia"/>
                <w:b/>
                <w:sz w:val="30"/>
                <w:szCs w:val="30"/>
              </w:rPr>
              <w:t>第二章</w:t>
            </w:r>
            <w:r w:rsidR="00FC7BEB">
              <w:rPr>
                <w:rFonts w:hint="eastAsia"/>
                <w:b/>
                <w:sz w:val="30"/>
                <w:szCs w:val="30"/>
              </w:rPr>
              <w:t xml:space="preserve"> </w:t>
            </w:r>
            <w:r w:rsidR="00FC7BEB">
              <w:rPr>
                <w:rFonts w:hint="eastAsia"/>
                <w:b/>
                <w:sz w:val="30"/>
                <w:szCs w:val="30"/>
              </w:rPr>
              <w:t>总体要求</w:t>
            </w:r>
            <w:r w:rsidR="00FC7BEB">
              <w:rPr>
                <w:b/>
                <w:sz w:val="30"/>
                <w:szCs w:val="30"/>
              </w:rPr>
              <w:tab/>
            </w:r>
            <w:r>
              <w:rPr>
                <w:b/>
                <w:sz w:val="30"/>
                <w:szCs w:val="30"/>
              </w:rPr>
              <w:fldChar w:fldCharType="begin"/>
            </w:r>
            <w:r w:rsidR="00FC7BEB">
              <w:rPr>
                <w:b/>
                <w:sz w:val="30"/>
                <w:szCs w:val="30"/>
              </w:rPr>
              <w:instrText xml:space="preserve"> PAGEREF _Toc31622 \h </w:instrText>
            </w:r>
            <w:r>
              <w:rPr>
                <w:b/>
                <w:sz w:val="30"/>
                <w:szCs w:val="30"/>
              </w:rPr>
            </w:r>
            <w:r>
              <w:rPr>
                <w:b/>
                <w:sz w:val="30"/>
                <w:szCs w:val="30"/>
              </w:rPr>
              <w:fldChar w:fldCharType="separate"/>
            </w:r>
            <w:r w:rsidR="00FC7BEB">
              <w:rPr>
                <w:b/>
                <w:sz w:val="30"/>
                <w:szCs w:val="30"/>
              </w:rPr>
              <w:t>14</w:t>
            </w:r>
            <w:r>
              <w:rPr>
                <w:b/>
                <w:sz w:val="30"/>
                <w:szCs w:val="30"/>
              </w:rPr>
              <w:fldChar w:fldCharType="end"/>
            </w:r>
          </w:hyperlink>
        </w:p>
        <w:p w:rsidR="000816CE" w:rsidRDefault="000816CE">
          <w:pPr>
            <w:pStyle w:val="WPSOffice2"/>
            <w:tabs>
              <w:tab w:val="right" w:leader="dot" w:pos="8868"/>
            </w:tabs>
            <w:ind w:left="640"/>
            <w:rPr>
              <w:sz w:val="30"/>
              <w:szCs w:val="30"/>
            </w:rPr>
          </w:pPr>
          <w:hyperlink w:anchor="_Toc31950" w:history="1">
            <w:r w:rsidR="00FC7BEB">
              <w:rPr>
                <w:sz w:val="30"/>
                <w:szCs w:val="30"/>
              </w:rPr>
              <w:t>（一）指导思想</w:t>
            </w:r>
            <w:r w:rsidR="00FC7BEB">
              <w:rPr>
                <w:sz w:val="30"/>
                <w:szCs w:val="30"/>
              </w:rPr>
              <w:tab/>
            </w:r>
            <w:r>
              <w:rPr>
                <w:sz w:val="30"/>
                <w:szCs w:val="30"/>
              </w:rPr>
              <w:fldChar w:fldCharType="begin"/>
            </w:r>
            <w:r w:rsidR="00FC7BEB">
              <w:rPr>
                <w:sz w:val="30"/>
                <w:szCs w:val="30"/>
              </w:rPr>
              <w:instrText xml:space="preserve"> PAGEREF _Toc31950 \h </w:instrText>
            </w:r>
            <w:r>
              <w:rPr>
                <w:sz w:val="30"/>
                <w:szCs w:val="30"/>
              </w:rPr>
            </w:r>
            <w:r>
              <w:rPr>
                <w:sz w:val="30"/>
                <w:szCs w:val="30"/>
              </w:rPr>
              <w:fldChar w:fldCharType="separate"/>
            </w:r>
            <w:r w:rsidR="00FC7BEB">
              <w:rPr>
                <w:sz w:val="30"/>
                <w:szCs w:val="30"/>
              </w:rPr>
              <w:t>14</w:t>
            </w:r>
            <w:r>
              <w:rPr>
                <w:sz w:val="30"/>
                <w:szCs w:val="30"/>
              </w:rPr>
              <w:fldChar w:fldCharType="end"/>
            </w:r>
          </w:hyperlink>
        </w:p>
        <w:p w:rsidR="000816CE" w:rsidRDefault="000816CE">
          <w:pPr>
            <w:pStyle w:val="WPSOffice2"/>
            <w:tabs>
              <w:tab w:val="right" w:leader="dot" w:pos="8868"/>
            </w:tabs>
            <w:ind w:left="640"/>
            <w:rPr>
              <w:sz w:val="30"/>
              <w:szCs w:val="30"/>
            </w:rPr>
          </w:pPr>
          <w:hyperlink w:anchor="_Toc25056" w:history="1">
            <w:r w:rsidR="00FC7BEB">
              <w:rPr>
                <w:sz w:val="30"/>
                <w:szCs w:val="30"/>
              </w:rPr>
              <w:t>（二）发展原则</w:t>
            </w:r>
            <w:r w:rsidR="00FC7BEB">
              <w:rPr>
                <w:sz w:val="30"/>
                <w:szCs w:val="30"/>
              </w:rPr>
              <w:tab/>
            </w:r>
            <w:r>
              <w:rPr>
                <w:sz w:val="30"/>
                <w:szCs w:val="30"/>
              </w:rPr>
              <w:fldChar w:fldCharType="begin"/>
            </w:r>
            <w:r w:rsidR="00FC7BEB">
              <w:rPr>
                <w:sz w:val="30"/>
                <w:szCs w:val="30"/>
              </w:rPr>
              <w:instrText xml:space="preserve"> PAGEREF _Toc25056 \h </w:instrText>
            </w:r>
            <w:r>
              <w:rPr>
                <w:sz w:val="30"/>
                <w:szCs w:val="30"/>
              </w:rPr>
            </w:r>
            <w:r>
              <w:rPr>
                <w:sz w:val="30"/>
                <w:szCs w:val="30"/>
              </w:rPr>
              <w:fldChar w:fldCharType="separate"/>
            </w:r>
            <w:r w:rsidR="00FC7BEB">
              <w:rPr>
                <w:sz w:val="30"/>
                <w:szCs w:val="30"/>
              </w:rPr>
              <w:t>14</w:t>
            </w:r>
            <w:r>
              <w:rPr>
                <w:sz w:val="30"/>
                <w:szCs w:val="30"/>
              </w:rPr>
              <w:fldChar w:fldCharType="end"/>
            </w:r>
          </w:hyperlink>
        </w:p>
        <w:p w:rsidR="000816CE" w:rsidRDefault="000816CE">
          <w:pPr>
            <w:pStyle w:val="WPSOffice2"/>
            <w:tabs>
              <w:tab w:val="right" w:leader="dot" w:pos="8868"/>
            </w:tabs>
            <w:ind w:left="640"/>
            <w:rPr>
              <w:sz w:val="30"/>
              <w:szCs w:val="30"/>
            </w:rPr>
          </w:pPr>
          <w:hyperlink w:anchor="_Toc17560" w:history="1">
            <w:r w:rsidR="00FC7BEB">
              <w:rPr>
                <w:sz w:val="30"/>
                <w:szCs w:val="30"/>
              </w:rPr>
              <w:t>（三）发展目标</w:t>
            </w:r>
            <w:r w:rsidR="00FC7BEB">
              <w:rPr>
                <w:sz w:val="30"/>
                <w:szCs w:val="30"/>
              </w:rPr>
              <w:tab/>
            </w:r>
            <w:r>
              <w:rPr>
                <w:sz w:val="30"/>
                <w:szCs w:val="30"/>
              </w:rPr>
              <w:fldChar w:fldCharType="begin"/>
            </w:r>
            <w:r w:rsidR="00FC7BEB">
              <w:rPr>
                <w:sz w:val="30"/>
                <w:szCs w:val="30"/>
              </w:rPr>
              <w:instrText xml:space="preserve"> PAGEREF _Toc17560 \h </w:instrText>
            </w:r>
            <w:r>
              <w:rPr>
                <w:sz w:val="30"/>
                <w:szCs w:val="30"/>
              </w:rPr>
            </w:r>
            <w:r>
              <w:rPr>
                <w:sz w:val="30"/>
                <w:szCs w:val="30"/>
              </w:rPr>
              <w:fldChar w:fldCharType="separate"/>
            </w:r>
            <w:r w:rsidR="00FC7BEB">
              <w:rPr>
                <w:sz w:val="30"/>
                <w:szCs w:val="30"/>
              </w:rPr>
              <w:t>16</w:t>
            </w:r>
            <w:r>
              <w:rPr>
                <w:sz w:val="30"/>
                <w:szCs w:val="30"/>
              </w:rPr>
              <w:fldChar w:fldCharType="end"/>
            </w:r>
          </w:hyperlink>
        </w:p>
        <w:p w:rsidR="000816CE" w:rsidRDefault="000816CE">
          <w:pPr>
            <w:pStyle w:val="WPSOffice1"/>
            <w:tabs>
              <w:tab w:val="right" w:leader="dot" w:pos="8868"/>
            </w:tabs>
            <w:rPr>
              <w:b/>
              <w:sz w:val="30"/>
              <w:szCs w:val="30"/>
            </w:rPr>
          </w:pPr>
          <w:hyperlink w:anchor="_Toc4697" w:history="1">
            <w:r w:rsidR="00FC7BEB">
              <w:rPr>
                <w:rFonts w:hint="eastAsia"/>
                <w:b/>
                <w:sz w:val="30"/>
                <w:szCs w:val="30"/>
              </w:rPr>
              <w:t>第三章</w:t>
            </w:r>
            <w:r w:rsidR="00FC7BEB">
              <w:rPr>
                <w:rFonts w:hint="eastAsia"/>
                <w:b/>
                <w:sz w:val="30"/>
                <w:szCs w:val="30"/>
              </w:rPr>
              <w:t xml:space="preserve"> </w:t>
            </w:r>
            <w:r w:rsidR="00FC7BEB">
              <w:rPr>
                <w:rFonts w:hint="eastAsia"/>
                <w:b/>
                <w:sz w:val="30"/>
                <w:szCs w:val="30"/>
              </w:rPr>
              <w:t>优化服务业空间布局</w:t>
            </w:r>
            <w:r w:rsidR="00FC7BEB">
              <w:rPr>
                <w:b/>
                <w:sz w:val="30"/>
                <w:szCs w:val="30"/>
              </w:rPr>
              <w:tab/>
            </w:r>
            <w:r>
              <w:rPr>
                <w:b/>
                <w:sz w:val="30"/>
                <w:szCs w:val="30"/>
              </w:rPr>
              <w:fldChar w:fldCharType="begin"/>
            </w:r>
            <w:r w:rsidR="00FC7BEB">
              <w:rPr>
                <w:b/>
                <w:sz w:val="30"/>
                <w:szCs w:val="30"/>
              </w:rPr>
              <w:instrText xml:space="preserve"> PAGEREF _Toc4697 \h </w:instrText>
            </w:r>
            <w:r>
              <w:rPr>
                <w:b/>
                <w:sz w:val="30"/>
                <w:szCs w:val="30"/>
              </w:rPr>
            </w:r>
            <w:r>
              <w:rPr>
                <w:b/>
                <w:sz w:val="30"/>
                <w:szCs w:val="30"/>
              </w:rPr>
              <w:fldChar w:fldCharType="separate"/>
            </w:r>
            <w:r w:rsidR="00FC7BEB">
              <w:rPr>
                <w:b/>
                <w:sz w:val="30"/>
                <w:szCs w:val="30"/>
              </w:rPr>
              <w:t>17</w:t>
            </w:r>
            <w:r>
              <w:rPr>
                <w:b/>
                <w:sz w:val="30"/>
                <w:szCs w:val="30"/>
              </w:rPr>
              <w:fldChar w:fldCharType="end"/>
            </w:r>
          </w:hyperlink>
        </w:p>
        <w:p w:rsidR="000816CE" w:rsidRDefault="000816CE">
          <w:pPr>
            <w:pStyle w:val="WPSOffice2"/>
            <w:tabs>
              <w:tab w:val="right" w:leader="dot" w:pos="8868"/>
            </w:tabs>
            <w:ind w:left="640"/>
            <w:rPr>
              <w:sz w:val="30"/>
              <w:szCs w:val="30"/>
            </w:rPr>
          </w:pPr>
          <w:hyperlink w:anchor="_Toc30030" w:history="1">
            <w:r w:rsidR="00FC7BEB">
              <w:rPr>
                <w:sz w:val="30"/>
                <w:szCs w:val="30"/>
              </w:rPr>
              <w:t>（一）一核引领</w:t>
            </w:r>
            <w:r w:rsidR="00FC7BEB">
              <w:rPr>
                <w:sz w:val="30"/>
                <w:szCs w:val="30"/>
              </w:rPr>
              <w:tab/>
            </w:r>
            <w:r>
              <w:rPr>
                <w:sz w:val="30"/>
                <w:szCs w:val="30"/>
              </w:rPr>
              <w:fldChar w:fldCharType="begin"/>
            </w:r>
            <w:r w:rsidR="00FC7BEB">
              <w:rPr>
                <w:sz w:val="30"/>
                <w:szCs w:val="30"/>
              </w:rPr>
              <w:instrText xml:space="preserve"> PAGEREF _Toc30030 \h </w:instrText>
            </w:r>
            <w:r>
              <w:rPr>
                <w:sz w:val="30"/>
                <w:szCs w:val="30"/>
              </w:rPr>
            </w:r>
            <w:r>
              <w:rPr>
                <w:sz w:val="30"/>
                <w:szCs w:val="30"/>
              </w:rPr>
              <w:fldChar w:fldCharType="separate"/>
            </w:r>
            <w:r w:rsidR="00FC7BEB">
              <w:rPr>
                <w:sz w:val="30"/>
                <w:szCs w:val="30"/>
              </w:rPr>
              <w:t>17</w:t>
            </w:r>
            <w:r>
              <w:rPr>
                <w:sz w:val="30"/>
                <w:szCs w:val="30"/>
              </w:rPr>
              <w:fldChar w:fldCharType="end"/>
            </w:r>
          </w:hyperlink>
        </w:p>
        <w:p w:rsidR="000816CE" w:rsidRDefault="000816CE">
          <w:pPr>
            <w:pStyle w:val="WPSOffice2"/>
            <w:tabs>
              <w:tab w:val="right" w:leader="dot" w:pos="8868"/>
            </w:tabs>
            <w:ind w:left="640"/>
            <w:rPr>
              <w:sz w:val="30"/>
              <w:szCs w:val="30"/>
            </w:rPr>
          </w:pPr>
          <w:hyperlink w:anchor="_Toc1895" w:history="1">
            <w:r w:rsidR="00FC7BEB">
              <w:rPr>
                <w:sz w:val="30"/>
                <w:szCs w:val="30"/>
              </w:rPr>
              <w:t>（二）两带协同</w:t>
            </w:r>
            <w:r w:rsidR="00FC7BEB">
              <w:rPr>
                <w:sz w:val="30"/>
                <w:szCs w:val="30"/>
              </w:rPr>
              <w:tab/>
            </w:r>
            <w:r>
              <w:rPr>
                <w:sz w:val="30"/>
                <w:szCs w:val="30"/>
              </w:rPr>
              <w:fldChar w:fldCharType="begin"/>
            </w:r>
            <w:r w:rsidR="00FC7BEB">
              <w:rPr>
                <w:sz w:val="30"/>
                <w:szCs w:val="30"/>
              </w:rPr>
              <w:instrText xml:space="preserve"> PAGEREF _Toc1895 \h </w:instrText>
            </w:r>
            <w:r>
              <w:rPr>
                <w:sz w:val="30"/>
                <w:szCs w:val="30"/>
              </w:rPr>
            </w:r>
            <w:r>
              <w:rPr>
                <w:sz w:val="30"/>
                <w:szCs w:val="30"/>
              </w:rPr>
              <w:fldChar w:fldCharType="separate"/>
            </w:r>
            <w:r w:rsidR="00FC7BEB">
              <w:rPr>
                <w:sz w:val="30"/>
                <w:szCs w:val="30"/>
              </w:rPr>
              <w:t>18</w:t>
            </w:r>
            <w:r>
              <w:rPr>
                <w:sz w:val="30"/>
                <w:szCs w:val="30"/>
              </w:rPr>
              <w:fldChar w:fldCharType="end"/>
            </w:r>
          </w:hyperlink>
        </w:p>
        <w:p w:rsidR="000816CE" w:rsidRDefault="000816CE">
          <w:pPr>
            <w:pStyle w:val="WPSOffice2"/>
            <w:tabs>
              <w:tab w:val="right" w:leader="dot" w:pos="8868"/>
            </w:tabs>
            <w:ind w:left="640"/>
            <w:rPr>
              <w:sz w:val="30"/>
              <w:szCs w:val="30"/>
            </w:rPr>
          </w:pPr>
          <w:hyperlink w:anchor="_Toc5410" w:history="1">
            <w:r w:rsidR="00FC7BEB">
              <w:rPr>
                <w:sz w:val="30"/>
                <w:szCs w:val="30"/>
              </w:rPr>
              <w:t>（三）多节点支撑</w:t>
            </w:r>
            <w:r w:rsidR="00FC7BEB">
              <w:rPr>
                <w:sz w:val="30"/>
                <w:szCs w:val="30"/>
              </w:rPr>
              <w:tab/>
            </w:r>
            <w:r>
              <w:rPr>
                <w:sz w:val="30"/>
                <w:szCs w:val="30"/>
              </w:rPr>
              <w:fldChar w:fldCharType="begin"/>
            </w:r>
            <w:r w:rsidR="00FC7BEB">
              <w:rPr>
                <w:sz w:val="30"/>
                <w:szCs w:val="30"/>
              </w:rPr>
              <w:instrText xml:space="preserve"> PAGEREF _Toc5410 \h </w:instrText>
            </w:r>
            <w:r>
              <w:rPr>
                <w:sz w:val="30"/>
                <w:szCs w:val="30"/>
              </w:rPr>
            </w:r>
            <w:r>
              <w:rPr>
                <w:sz w:val="30"/>
                <w:szCs w:val="30"/>
              </w:rPr>
              <w:fldChar w:fldCharType="separate"/>
            </w:r>
            <w:r w:rsidR="00FC7BEB">
              <w:rPr>
                <w:sz w:val="30"/>
                <w:szCs w:val="30"/>
              </w:rPr>
              <w:t>20</w:t>
            </w:r>
            <w:r>
              <w:rPr>
                <w:sz w:val="30"/>
                <w:szCs w:val="30"/>
              </w:rPr>
              <w:fldChar w:fldCharType="end"/>
            </w:r>
          </w:hyperlink>
        </w:p>
        <w:p w:rsidR="000816CE" w:rsidRDefault="000816CE">
          <w:pPr>
            <w:pStyle w:val="WPSOffice1"/>
            <w:tabs>
              <w:tab w:val="right" w:leader="dot" w:pos="8868"/>
            </w:tabs>
            <w:rPr>
              <w:b/>
              <w:sz w:val="30"/>
              <w:szCs w:val="30"/>
            </w:rPr>
          </w:pPr>
          <w:hyperlink w:anchor="_Toc270" w:history="1">
            <w:r w:rsidR="00FC7BEB">
              <w:rPr>
                <w:rFonts w:hint="eastAsia"/>
                <w:b/>
                <w:sz w:val="30"/>
                <w:szCs w:val="30"/>
              </w:rPr>
              <w:t>第四章</w:t>
            </w:r>
            <w:r w:rsidR="00FC7BEB">
              <w:rPr>
                <w:rFonts w:hint="eastAsia"/>
                <w:b/>
                <w:sz w:val="30"/>
                <w:szCs w:val="30"/>
              </w:rPr>
              <w:t xml:space="preserve"> </w:t>
            </w:r>
            <w:r w:rsidR="00FC7BEB">
              <w:rPr>
                <w:rFonts w:hint="eastAsia"/>
                <w:b/>
                <w:sz w:val="30"/>
                <w:szCs w:val="30"/>
              </w:rPr>
              <w:t>创新发展生产性服务业</w:t>
            </w:r>
            <w:r w:rsidR="00FC7BEB">
              <w:rPr>
                <w:b/>
                <w:sz w:val="30"/>
                <w:szCs w:val="30"/>
              </w:rPr>
              <w:tab/>
            </w:r>
            <w:r>
              <w:rPr>
                <w:b/>
                <w:sz w:val="30"/>
                <w:szCs w:val="30"/>
              </w:rPr>
              <w:fldChar w:fldCharType="begin"/>
            </w:r>
            <w:r w:rsidR="00FC7BEB">
              <w:rPr>
                <w:b/>
                <w:sz w:val="30"/>
                <w:szCs w:val="30"/>
              </w:rPr>
              <w:instrText xml:space="preserve"> PAGEREF _Toc270 \h </w:instrText>
            </w:r>
            <w:r>
              <w:rPr>
                <w:b/>
                <w:sz w:val="30"/>
                <w:szCs w:val="30"/>
              </w:rPr>
            </w:r>
            <w:r>
              <w:rPr>
                <w:b/>
                <w:sz w:val="30"/>
                <w:szCs w:val="30"/>
              </w:rPr>
              <w:fldChar w:fldCharType="separate"/>
            </w:r>
            <w:r w:rsidR="00FC7BEB">
              <w:rPr>
                <w:b/>
                <w:sz w:val="30"/>
                <w:szCs w:val="30"/>
              </w:rPr>
              <w:t>25</w:t>
            </w:r>
            <w:r>
              <w:rPr>
                <w:b/>
                <w:sz w:val="30"/>
                <w:szCs w:val="30"/>
              </w:rPr>
              <w:fldChar w:fldCharType="end"/>
            </w:r>
          </w:hyperlink>
        </w:p>
        <w:p w:rsidR="000816CE" w:rsidRDefault="000816CE">
          <w:pPr>
            <w:pStyle w:val="WPSOffice2"/>
            <w:tabs>
              <w:tab w:val="right" w:leader="dot" w:pos="8868"/>
            </w:tabs>
            <w:ind w:left="640"/>
            <w:rPr>
              <w:sz w:val="30"/>
              <w:szCs w:val="30"/>
            </w:rPr>
          </w:pPr>
          <w:hyperlink w:anchor="_Toc6755" w:history="1">
            <w:r w:rsidR="00FC7BEB">
              <w:rPr>
                <w:sz w:val="30"/>
                <w:szCs w:val="30"/>
              </w:rPr>
              <w:t>（一）电子商务</w:t>
            </w:r>
            <w:r w:rsidR="00FC7BEB">
              <w:rPr>
                <w:sz w:val="30"/>
                <w:szCs w:val="30"/>
              </w:rPr>
              <w:tab/>
            </w:r>
            <w:r>
              <w:rPr>
                <w:sz w:val="30"/>
                <w:szCs w:val="30"/>
              </w:rPr>
              <w:fldChar w:fldCharType="begin"/>
            </w:r>
            <w:r w:rsidR="00FC7BEB">
              <w:rPr>
                <w:sz w:val="30"/>
                <w:szCs w:val="30"/>
              </w:rPr>
              <w:instrText xml:space="preserve"> PAGEREF _Toc6755 \h </w:instrText>
            </w:r>
            <w:r>
              <w:rPr>
                <w:sz w:val="30"/>
                <w:szCs w:val="30"/>
              </w:rPr>
            </w:r>
            <w:r>
              <w:rPr>
                <w:sz w:val="30"/>
                <w:szCs w:val="30"/>
              </w:rPr>
              <w:fldChar w:fldCharType="separate"/>
            </w:r>
            <w:r w:rsidR="00FC7BEB">
              <w:rPr>
                <w:sz w:val="30"/>
                <w:szCs w:val="30"/>
              </w:rPr>
              <w:t>25</w:t>
            </w:r>
            <w:r>
              <w:rPr>
                <w:sz w:val="30"/>
                <w:szCs w:val="30"/>
              </w:rPr>
              <w:fldChar w:fldCharType="end"/>
            </w:r>
          </w:hyperlink>
        </w:p>
        <w:p w:rsidR="000816CE" w:rsidRDefault="000816CE">
          <w:pPr>
            <w:pStyle w:val="WPSOffice2"/>
            <w:tabs>
              <w:tab w:val="right" w:leader="dot" w:pos="8868"/>
            </w:tabs>
            <w:ind w:left="640"/>
            <w:rPr>
              <w:sz w:val="30"/>
              <w:szCs w:val="30"/>
            </w:rPr>
          </w:pPr>
          <w:hyperlink w:anchor="_Toc8645" w:history="1">
            <w:r w:rsidR="00FC7BEB">
              <w:rPr>
                <w:sz w:val="30"/>
                <w:szCs w:val="30"/>
              </w:rPr>
              <w:t>（二）金融服务</w:t>
            </w:r>
            <w:r w:rsidR="00FC7BEB">
              <w:rPr>
                <w:sz w:val="30"/>
                <w:szCs w:val="30"/>
              </w:rPr>
              <w:tab/>
            </w:r>
            <w:r>
              <w:rPr>
                <w:sz w:val="30"/>
                <w:szCs w:val="30"/>
              </w:rPr>
              <w:fldChar w:fldCharType="begin"/>
            </w:r>
            <w:r w:rsidR="00FC7BEB">
              <w:rPr>
                <w:sz w:val="30"/>
                <w:szCs w:val="30"/>
              </w:rPr>
              <w:instrText xml:space="preserve"> PAGEREF _Toc8645 \h </w:instrText>
            </w:r>
            <w:r>
              <w:rPr>
                <w:sz w:val="30"/>
                <w:szCs w:val="30"/>
              </w:rPr>
            </w:r>
            <w:r>
              <w:rPr>
                <w:sz w:val="30"/>
                <w:szCs w:val="30"/>
              </w:rPr>
              <w:fldChar w:fldCharType="separate"/>
            </w:r>
            <w:r w:rsidR="00FC7BEB">
              <w:rPr>
                <w:sz w:val="30"/>
                <w:szCs w:val="30"/>
              </w:rPr>
              <w:t>29</w:t>
            </w:r>
            <w:r>
              <w:rPr>
                <w:sz w:val="30"/>
                <w:szCs w:val="30"/>
              </w:rPr>
              <w:fldChar w:fldCharType="end"/>
            </w:r>
          </w:hyperlink>
        </w:p>
        <w:p w:rsidR="000816CE" w:rsidRDefault="000816CE">
          <w:pPr>
            <w:pStyle w:val="WPSOffice2"/>
            <w:tabs>
              <w:tab w:val="right" w:leader="dot" w:pos="8868"/>
            </w:tabs>
            <w:ind w:left="640"/>
            <w:rPr>
              <w:sz w:val="30"/>
              <w:szCs w:val="30"/>
            </w:rPr>
          </w:pPr>
          <w:hyperlink w:anchor="_Toc4465" w:history="1">
            <w:r w:rsidR="00FC7BEB">
              <w:rPr>
                <w:sz w:val="30"/>
                <w:szCs w:val="30"/>
              </w:rPr>
              <w:t>（三）总部经济</w:t>
            </w:r>
            <w:r w:rsidR="00FC7BEB">
              <w:rPr>
                <w:sz w:val="30"/>
                <w:szCs w:val="30"/>
              </w:rPr>
              <w:tab/>
            </w:r>
            <w:r>
              <w:rPr>
                <w:sz w:val="30"/>
                <w:szCs w:val="30"/>
              </w:rPr>
              <w:fldChar w:fldCharType="begin"/>
            </w:r>
            <w:r w:rsidR="00FC7BEB">
              <w:rPr>
                <w:sz w:val="30"/>
                <w:szCs w:val="30"/>
              </w:rPr>
              <w:instrText xml:space="preserve"> PAGEREF _Toc4465 \h </w:instrText>
            </w:r>
            <w:r>
              <w:rPr>
                <w:sz w:val="30"/>
                <w:szCs w:val="30"/>
              </w:rPr>
            </w:r>
            <w:r>
              <w:rPr>
                <w:sz w:val="30"/>
                <w:szCs w:val="30"/>
              </w:rPr>
              <w:fldChar w:fldCharType="separate"/>
            </w:r>
            <w:r w:rsidR="00FC7BEB">
              <w:rPr>
                <w:sz w:val="30"/>
                <w:szCs w:val="30"/>
              </w:rPr>
              <w:t>32</w:t>
            </w:r>
            <w:r>
              <w:rPr>
                <w:sz w:val="30"/>
                <w:szCs w:val="30"/>
              </w:rPr>
              <w:fldChar w:fldCharType="end"/>
            </w:r>
          </w:hyperlink>
        </w:p>
        <w:p w:rsidR="000816CE" w:rsidRDefault="000816CE">
          <w:pPr>
            <w:pStyle w:val="WPSOffice2"/>
            <w:tabs>
              <w:tab w:val="right" w:leader="dot" w:pos="8868"/>
            </w:tabs>
            <w:ind w:left="640"/>
            <w:rPr>
              <w:sz w:val="30"/>
              <w:szCs w:val="30"/>
            </w:rPr>
          </w:pPr>
          <w:hyperlink w:anchor="_Toc28964" w:history="1">
            <w:r w:rsidR="00FC7BEB">
              <w:rPr>
                <w:sz w:val="30"/>
                <w:szCs w:val="30"/>
              </w:rPr>
              <w:t>（四）现代物流</w:t>
            </w:r>
            <w:r w:rsidR="00FC7BEB">
              <w:rPr>
                <w:sz w:val="30"/>
                <w:szCs w:val="30"/>
              </w:rPr>
              <w:tab/>
            </w:r>
            <w:r>
              <w:rPr>
                <w:sz w:val="30"/>
                <w:szCs w:val="30"/>
              </w:rPr>
              <w:fldChar w:fldCharType="begin"/>
            </w:r>
            <w:r w:rsidR="00FC7BEB">
              <w:rPr>
                <w:sz w:val="30"/>
                <w:szCs w:val="30"/>
              </w:rPr>
              <w:instrText xml:space="preserve"> PAGEREF _Toc28964 \h </w:instrText>
            </w:r>
            <w:r>
              <w:rPr>
                <w:sz w:val="30"/>
                <w:szCs w:val="30"/>
              </w:rPr>
            </w:r>
            <w:r>
              <w:rPr>
                <w:sz w:val="30"/>
                <w:szCs w:val="30"/>
              </w:rPr>
              <w:fldChar w:fldCharType="separate"/>
            </w:r>
            <w:r w:rsidR="00FC7BEB">
              <w:rPr>
                <w:sz w:val="30"/>
                <w:szCs w:val="30"/>
              </w:rPr>
              <w:t>34</w:t>
            </w:r>
            <w:r>
              <w:rPr>
                <w:sz w:val="30"/>
                <w:szCs w:val="30"/>
              </w:rPr>
              <w:fldChar w:fldCharType="end"/>
            </w:r>
          </w:hyperlink>
        </w:p>
        <w:p w:rsidR="000816CE" w:rsidRDefault="000816CE">
          <w:pPr>
            <w:pStyle w:val="WPSOffice2"/>
            <w:tabs>
              <w:tab w:val="right" w:leader="dot" w:pos="8868"/>
            </w:tabs>
            <w:ind w:left="640"/>
            <w:rPr>
              <w:sz w:val="30"/>
              <w:szCs w:val="30"/>
            </w:rPr>
          </w:pPr>
          <w:hyperlink w:anchor="_Toc17744" w:history="1">
            <w:r w:rsidR="00FC7BEB">
              <w:rPr>
                <w:sz w:val="30"/>
                <w:szCs w:val="30"/>
              </w:rPr>
              <w:t>（五）科技信息</w:t>
            </w:r>
            <w:r w:rsidR="00FC7BEB">
              <w:rPr>
                <w:sz w:val="30"/>
                <w:szCs w:val="30"/>
              </w:rPr>
              <w:tab/>
            </w:r>
            <w:r>
              <w:rPr>
                <w:sz w:val="30"/>
                <w:szCs w:val="30"/>
              </w:rPr>
              <w:fldChar w:fldCharType="begin"/>
            </w:r>
            <w:r w:rsidR="00FC7BEB">
              <w:rPr>
                <w:sz w:val="30"/>
                <w:szCs w:val="30"/>
              </w:rPr>
              <w:instrText xml:space="preserve"> PAGEREF _Toc17744 \h </w:instrText>
            </w:r>
            <w:r>
              <w:rPr>
                <w:sz w:val="30"/>
                <w:szCs w:val="30"/>
              </w:rPr>
            </w:r>
            <w:r>
              <w:rPr>
                <w:sz w:val="30"/>
                <w:szCs w:val="30"/>
              </w:rPr>
              <w:fldChar w:fldCharType="separate"/>
            </w:r>
            <w:r w:rsidR="00FC7BEB">
              <w:rPr>
                <w:sz w:val="30"/>
                <w:szCs w:val="30"/>
              </w:rPr>
              <w:t>37</w:t>
            </w:r>
            <w:r>
              <w:rPr>
                <w:sz w:val="30"/>
                <w:szCs w:val="30"/>
              </w:rPr>
              <w:fldChar w:fldCharType="end"/>
            </w:r>
          </w:hyperlink>
        </w:p>
        <w:p w:rsidR="000816CE" w:rsidRDefault="000816CE">
          <w:pPr>
            <w:pStyle w:val="WPSOffice1"/>
            <w:tabs>
              <w:tab w:val="right" w:leader="dot" w:pos="8868"/>
            </w:tabs>
            <w:rPr>
              <w:b/>
              <w:sz w:val="30"/>
              <w:szCs w:val="30"/>
            </w:rPr>
          </w:pPr>
          <w:hyperlink w:anchor="_Toc12462" w:history="1">
            <w:r w:rsidR="00FC7BEB">
              <w:rPr>
                <w:rFonts w:hint="eastAsia"/>
                <w:b/>
                <w:sz w:val="30"/>
                <w:szCs w:val="30"/>
              </w:rPr>
              <w:t>第五章</w:t>
            </w:r>
            <w:r w:rsidR="00FC7BEB">
              <w:rPr>
                <w:rFonts w:hint="eastAsia"/>
                <w:b/>
                <w:sz w:val="30"/>
                <w:szCs w:val="30"/>
              </w:rPr>
              <w:t xml:space="preserve"> </w:t>
            </w:r>
            <w:r w:rsidR="00FC7BEB">
              <w:rPr>
                <w:rFonts w:hint="eastAsia"/>
                <w:b/>
                <w:sz w:val="30"/>
                <w:szCs w:val="30"/>
              </w:rPr>
              <w:t>提升发展生活性服务业</w:t>
            </w:r>
            <w:r w:rsidR="00FC7BEB">
              <w:rPr>
                <w:b/>
                <w:sz w:val="30"/>
                <w:szCs w:val="30"/>
              </w:rPr>
              <w:tab/>
            </w:r>
            <w:r>
              <w:rPr>
                <w:b/>
                <w:sz w:val="30"/>
                <w:szCs w:val="30"/>
              </w:rPr>
              <w:fldChar w:fldCharType="begin"/>
            </w:r>
            <w:r w:rsidR="00FC7BEB">
              <w:rPr>
                <w:b/>
                <w:sz w:val="30"/>
                <w:szCs w:val="30"/>
              </w:rPr>
              <w:instrText xml:space="preserve"> PAGEREF _Toc12462 \h </w:instrText>
            </w:r>
            <w:r>
              <w:rPr>
                <w:b/>
                <w:sz w:val="30"/>
                <w:szCs w:val="30"/>
              </w:rPr>
            </w:r>
            <w:r>
              <w:rPr>
                <w:b/>
                <w:sz w:val="30"/>
                <w:szCs w:val="30"/>
              </w:rPr>
              <w:fldChar w:fldCharType="separate"/>
            </w:r>
            <w:r w:rsidR="00FC7BEB">
              <w:rPr>
                <w:b/>
                <w:sz w:val="30"/>
                <w:szCs w:val="30"/>
              </w:rPr>
              <w:t>42</w:t>
            </w:r>
            <w:r>
              <w:rPr>
                <w:b/>
                <w:sz w:val="30"/>
                <w:szCs w:val="30"/>
              </w:rPr>
              <w:fldChar w:fldCharType="end"/>
            </w:r>
          </w:hyperlink>
        </w:p>
        <w:p w:rsidR="000816CE" w:rsidRDefault="000816CE">
          <w:pPr>
            <w:pStyle w:val="WPSOffice2"/>
            <w:tabs>
              <w:tab w:val="right" w:leader="dot" w:pos="8868"/>
            </w:tabs>
            <w:ind w:left="640"/>
            <w:rPr>
              <w:sz w:val="30"/>
              <w:szCs w:val="30"/>
            </w:rPr>
          </w:pPr>
          <w:hyperlink w:anchor="_Toc12768" w:history="1">
            <w:r w:rsidR="00FC7BEB">
              <w:rPr>
                <w:sz w:val="30"/>
                <w:szCs w:val="30"/>
              </w:rPr>
              <w:t>（一）商贸流通</w:t>
            </w:r>
            <w:r w:rsidR="00FC7BEB">
              <w:rPr>
                <w:sz w:val="30"/>
                <w:szCs w:val="30"/>
              </w:rPr>
              <w:tab/>
            </w:r>
            <w:r>
              <w:rPr>
                <w:sz w:val="30"/>
                <w:szCs w:val="30"/>
              </w:rPr>
              <w:fldChar w:fldCharType="begin"/>
            </w:r>
            <w:r w:rsidR="00FC7BEB">
              <w:rPr>
                <w:sz w:val="30"/>
                <w:szCs w:val="30"/>
              </w:rPr>
              <w:instrText xml:space="preserve"> PAGEREF _Toc12768 \h </w:instrText>
            </w:r>
            <w:r>
              <w:rPr>
                <w:sz w:val="30"/>
                <w:szCs w:val="30"/>
              </w:rPr>
            </w:r>
            <w:r>
              <w:rPr>
                <w:sz w:val="30"/>
                <w:szCs w:val="30"/>
              </w:rPr>
              <w:fldChar w:fldCharType="separate"/>
            </w:r>
            <w:r w:rsidR="00FC7BEB">
              <w:rPr>
                <w:sz w:val="30"/>
                <w:szCs w:val="30"/>
              </w:rPr>
              <w:t>42</w:t>
            </w:r>
            <w:r>
              <w:rPr>
                <w:sz w:val="30"/>
                <w:szCs w:val="30"/>
              </w:rPr>
              <w:fldChar w:fldCharType="end"/>
            </w:r>
          </w:hyperlink>
        </w:p>
        <w:p w:rsidR="000816CE" w:rsidRDefault="000816CE">
          <w:pPr>
            <w:pStyle w:val="WPSOffice2"/>
            <w:tabs>
              <w:tab w:val="right" w:leader="dot" w:pos="8868"/>
            </w:tabs>
            <w:ind w:left="640"/>
            <w:rPr>
              <w:sz w:val="30"/>
              <w:szCs w:val="30"/>
            </w:rPr>
          </w:pPr>
          <w:hyperlink w:anchor="_Toc13212" w:history="1">
            <w:r w:rsidR="00FC7BEB">
              <w:rPr>
                <w:sz w:val="30"/>
                <w:szCs w:val="30"/>
              </w:rPr>
              <w:t>（二）文化旅游</w:t>
            </w:r>
            <w:r w:rsidR="00FC7BEB">
              <w:rPr>
                <w:sz w:val="30"/>
                <w:szCs w:val="30"/>
              </w:rPr>
              <w:tab/>
            </w:r>
            <w:r>
              <w:rPr>
                <w:sz w:val="30"/>
                <w:szCs w:val="30"/>
              </w:rPr>
              <w:fldChar w:fldCharType="begin"/>
            </w:r>
            <w:r w:rsidR="00FC7BEB">
              <w:rPr>
                <w:sz w:val="30"/>
                <w:szCs w:val="30"/>
              </w:rPr>
              <w:instrText xml:space="preserve"> PAGEREF _Toc13212 \h </w:instrText>
            </w:r>
            <w:r>
              <w:rPr>
                <w:sz w:val="30"/>
                <w:szCs w:val="30"/>
              </w:rPr>
            </w:r>
            <w:r>
              <w:rPr>
                <w:sz w:val="30"/>
                <w:szCs w:val="30"/>
              </w:rPr>
              <w:fldChar w:fldCharType="separate"/>
            </w:r>
            <w:r w:rsidR="00FC7BEB">
              <w:rPr>
                <w:sz w:val="30"/>
                <w:szCs w:val="30"/>
              </w:rPr>
              <w:t>45</w:t>
            </w:r>
            <w:r>
              <w:rPr>
                <w:sz w:val="30"/>
                <w:szCs w:val="30"/>
              </w:rPr>
              <w:fldChar w:fldCharType="end"/>
            </w:r>
          </w:hyperlink>
        </w:p>
        <w:p w:rsidR="000816CE" w:rsidRDefault="000816CE">
          <w:pPr>
            <w:pStyle w:val="WPSOffice2"/>
            <w:tabs>
              <w:tab w:val="right" w:leader="dot" w:pos="8868"/>
            </w:tabs>
            <w:ind w:left="640"/>
            <w:rPr>
              <w:sz w:val="30"/>
              <w:szCs w:val="30"/>
            </w:rPr>
          </w:pPr>
          <w:hyperlink w:anchor="_Toc28899" w:history="1">
            <w:r w:rsidR="00FC7BEB">
              <w:rPr>
                <w:sz w:val="30"/>
                <w:szCs w:val="30"/>
              </w:rPr>
              <w:t>（三）家政服务</w:t>
            </w:r>
            <w:r w:rsidR="00FC7BEB">
              <w:rPr>
                <w:sz w:val="30"/>
                <w:szCs w:val="30"/>
              </w:rPr>
              <w:tab/>
            </w:r>
            <w:r>
              <w:rPr>
                <w:sz w:val="30"/>
                <w:szCs w:val="30"/>
              </w:rPr>
              <w:fldChar w:fldCharType="begin"/>
            </w:r>
            <w:r w:rsidR="00FC7BEB">
              <w:rPr>
                <w:sz w:val="30"/>
                <w:szCs w:val="30"/>
              </w:rPr>
              <w:instrText xml:space="preserve"> PAGEREF _Toc28899 \h </w:instrText>
            </w:r>
            <w:r>
              <w:rPr>
                <w:sz w:val="30"/>
                <w:szCs w:val="30"/>
              </w:rPr>
            </w:r>
            <w:r>
              <w:rPr>
                <w:sz w:val="30"/>
                <w:szCs w:val="30"/>
              </w:rPr>
              <w:fldChar w:fldCharType="separate"/>
            </w:r>
            <w:r w:rsidR="00FC7BEB">
              <w:rPr>
                <w:sz w:val="30"/>
                <w:szCs w:val="30"/>
              </w:rPr>
              <w:t>48</w:t>
            </w:r>
            <w:r>
              <w:rPr>
                <w:sz w:val="30"/>
                <w:szCs w:val="30"/>
              </w:rPr>
              <w:fldChar w:fldCharType="end"/>
            </w:r>
          </w:hyperlink>
        </w:p>
        <w:p w:rsidR="000816CE" w:rsidRDefault="000816CE">
          <w:pPr>
            <w:pStyle w:val="WPSOffice2"/>
            <w:tabs>
              <w:tab w:val="right" w:leader="dot" w:pos="8868"/>
            </w:tabs>
            <w:ind w:left="640"/>
            <w:rPr>
              <w:sz w:val="30"/>
              <w:szCs w:val="30"/>
            </w:rPr>
          </w:pPr>
          <w:hyperlink w:anchor="_Toc14925" w:history="1">
            <w:r w:rsidR="00FC7BEB">
              <w:rPr>
                <w:sz w:val="30"/>
                <w:szCs w:val="30"/>
              </w:rPr>
              <w:t>（四）健康服务业</w:t>
            </w:r>
            <w:r w:rsidR="00FC7BEB">
              <w:rPr>
                <w:sz w:val="30"/>
                <w:szCs w:val="30"/>
              </w:rPr>
              <w:tab/>
            </w:r>
            <w:r>
              <w:rPr>
                <w:sz w:val="30"/>
                <w:szCs w:val="30"/>
              </w:rPr>
              <w:fldChar w:fldCharType="begin"/>
            </w:r>
            <w:r w:rsidR="00FC7BEB">
              <w:rPr>
                <w:sz w:val="30"/>
                <w:szCs w:val="30"/>
              </w:rPr>
              <w:instrText xml:space="preserve"> PAGEREF _Toc14925 \h </w:instrText>
            </w:r>
            <w:r>
              <w:rPr>
                <w:sz w:val="30"/>
                <w:szCs w:val="30"/>
              </w:rPr>
            </w:r>
            <w:r>
              <w:rPr>
                <w:sz w:val="30"/>
                <w:szCs w:val="30"/>
              </w:rPr>
              <w:fldChar w:fldCharType="separate"/>
            </w:r>
            <w:r w:rsidR="00FC7BEB">
              <w:rPr>
                <w:sz w:val="30"/>
                <w:szCs w:val="30"/>
              </w:rPr>
              <w:t>51</w:t>
            </w:r>
            <w:r>
              <w:rPr>
                <w:sz w:val="30"/>
                <w:szCs w:val="30"/>
              </w:rPr>
              <w:fldChar w:fldCharType="end"/>
            </w:r>
          </w:hyperlink>
        </w:p>
        <w:p w:rsidR="000816CE" w:rsidRDefault="000816CE">
          <w:pPr>
            <w:pStyle w:val="WPSOffice2"/>
            <w:tabs>
              <w:tab w:val="right" w:leader="dot" w:pos="8868"/>
            </w:tabs>
            <w:ind w:left="640"/>
            <w:rPr>
              <w:sz w:val="30"/>
              <w:szCs w:val="30"/>
            </w:rPr>
          </w:pPr>
          <w:hyperlink w:anchor="_Toc16444" w:history="1">
            <w:r w:rsidR="00FC7BEB">
              <w:rPr>
                <w:sz w:val="30"/>
                <w:szCs w:val="30"/>
              </w:rPr>
              <w:t>（五）房地产</w:t>
            </w:r>
            <w:r w:rsidR="00FC7BEB">
              <w:rPr>
                <w:sz w:val="30"/>
                <w:szCs w:val="30"/>
              </w:rPr>
              <w:tab/>
            </w:r>
            <w:r>
              <w:rPr>
                <w:sz w:val="30"/>
                <w:szCs w:val="30"/>
              </w:rPr>
              <w:fldChar w:fldCharType="begin"/>
            </w:r>
            <w:r w:rsidR="00FC7BEB">
              <w:rPr>
                <w:sz w:val="30"/>
                <w:szCs w:val="30"/>
              </w:rPr>
              <w:instrText xml:space="preserve"> PAGEREF _Toc16444 \h </w:instrText>
            </w:r>
            <w:r>
              <w:rPr>
                <w:sz w:val="30"/>
                <w:szCs w:val="30"/>
              </w:rPr>
            </w:r>
            <w:r>
              <w:rPr>
                <w:sz w:val="30"/>
                <w:szCs w:val="30"/>
              </w:rPr>
              <w:fldChar w:fldCharType="separate"/>
            </w:r>
            <w:r w:rsidR="00FC7BEB">
              <w:rPr>
                <w:sz w:val="30"/>
                <w:szCs w:val="30"/>
              </w:rPr>
              <w:t>55</w:t>
            </w:r>
            <w:r>
              <w:rPr>
                <w:sz w:val="30"/>
                <w:szCs w:val="30"/>
              </w:rPr>
              <w:fldChar w:fldCharType="end"/>
            </w:r>
          </w:hyperlink>
        </w:p>
        <w:p w:rsidR="000816CE" w:rsidRDefault="000816CE">
          <w:pPr>
            <w:pStyle w:val="WPSOffice1"/>
            <w:tabs>
              <w:tab w:val="right" w:leader="dot" w:pos="8868"/>
            </w:tabs>
            <w:rPr>
              <w:b/>
              <w:sz w:val="30"/>
              <w:szCs w:val="30"/>
            </w:rPr>
          </w:pPr>
          <w:hyperlink w:anchor="_Toc5654" w:history="1">
            <w:r w:rsidR="00FC7BEB">
              <w:rPr>
                <w:rFonts w:hint="eastAsia"/>
                <w:b/>
                <w:sz w:val="30"/>
                <w:szCs w:val="30"/>
              </w:rPr>
              <w:t>第六章</w:t>
            </w:r>
            <w:r w:rsidR="00FC7BEB">
              <w:rPr>
                <w:rFonts w:hint="eastAsia"/>
                <w:b/>
                <w:sz w:val="30"/>
                <w:szCs w:val="30"/>
              </w:rPr>
              <w:t xml:space="preserve"> </w:t>
            </w:r>
            <w:r w:rsidR="00FC7BEB">
              <w:rPr>
                <w:rFonts w:hint="eastAsia"/>
                <w:b/>
                <w:sz w:val="30"/>
                <w:szCs w:val="30"/>
              </w:rPr>
              <w:t>推动服务业高质量发展</w:t>
            </w:r>
            <w:r w:rsidR="00FC7BEB">
              <w:rPr>
                <w:b/>
                <w:sz w:val="30"/>
                <w:szCs w:val="30"/>
              </w:rPr>
              <w:tab/>
            </w:r>
            <w:r>
              <w:rPr>
                <w:b/>
                <w:sz w:val="30"/>
                <w:szCs w:val="30"/>
              </w:rPr>
              <w:fldChar w:fldCharType="begin"/>
            </w:r>
            <w:r w:rsidR="00FC7BEB">
              <w:rPr>
                <w:b/>
                <w:sz w:val="30"/>
                <w:szCs w:val="30"/>
              </w:rPr>
              <w:instrText xml:space="preserve"> PAGEREF _Toc5654 \h </w:instrText>
            </w:r>
            <w:r>
              <w:rPr>
                <w:b/>
                <w:sz w:val="30"/>
                <w:szCs w:val="30"/>
              </w:rPr>
            </w:r>
            <w:r>
              <w:rPr>
                <w:b/>
                <w:sz w:val="30"/>
                <w:szCs w:val="30"/>
              </w:rPr>
              <w:fldChar w:fldCharType="separate"/>
            </w:r>
            <w:r w:rsidR="00FC7BEB">
              <w:rPr>
                <w:b/>
                <w:sz w:val="30"/>
                <w:szCs w:val="30"/>
              </w:rPr>
              <w:t>59</w:t>
            </w:r>
            <w:r>
              <w:rPr>
                <w:b/>
                <w:sz w:val="30"/>
                <w:szCs w:val="30"/>
              </w:rPr>
              <w:fldChar w:fldCharType="end"/>
            </w:r>
          </w:hyperlink>
        </w:p>
        <w:p w:rsidR="000816CE" w:rsidRDefault="000816CE">
          <w:pPr>
            <w:pStyle w:val="WPSOffice2"/>
            <w:tabs>
              <w:tab w:val="right" w:leader="dot" w:pos="8868"/>
            </w:tabs>
            <w:ind w:left="640"/>
            <w:rPr>
              <w:sz w:val="30"/>
              <w:szCs w:val="30"/>
            </w:rPr>
          </w:pPr>
          <w:hyperlink w:anchor="_Toc29446" w:history="1">
            <w:r w:rsidR="00FC7BEB">
              <w:rPr>
                <w:sz w:val="30"/>
                <w:szCs w:val="30"/>
              </w:rPr>
              <w:t>（一）坚持创新驱动，塑造发展竞争优势</w:t>
            </w:r>
            <w:r w:rsidR="00FC7BEB">
              <w:rPr>
                <w:sz w:val="30"/>
                <w:szCs w:val="30"/>
              </w:rPr>
              <w:tab/>
            </w:r>
            <w:r>
              <w:rPr>
                <w:sz w:val="30"/>
                <w:szCs w:val="30"/>
              </w:rPr>
              <w:fldChar w:fldCharType="begin"/>
            </w:r>
            <w:r w:rsidR="00FC7BEB">
              <w:rPr>
                <w:sz w:val="30"/>
                <w:szCs w:val="30"/>
              </w:rPr>
              <w:instrText xml:space="preserve"> PAGEREF _Toc29446 \h </w:instrText>
            </w:r>
            <w:r>
              <w:rPr>
                <w:sz w:val="30"/>
                <w:szCs w:val="30"/>
              </w:rPr>
            </w:r>
            <w:r>
              <w:rPr>
                <w:sz w:val="30"/>
                <w:szCs w:val="30"/>
              </w:rPr>
              <w:fldChar w:fldCharType="separate"/>
            </w:r>
            <w:r w:rsidR="00FC7BEB">
              <w:rPr>
                <w:sz w:val="30"/>
                <w:szCs w:val="30"/>
              </w:rPr>
              <w:t>59</w:t>
            </w:r>
            <w:r>
              <w:rPr>
                <w:sz w:val="30"/>
                <w:szCs w:val="30"/>
              </w:rPr>
              <w:fldChar w:fldCharType="end"/>
            </w:r>
          </w:hyperlink>
        </w:p>
        <w:p w:rsidR="000816CE" w:rsidRDefault="000816CE">
          <w:pPr>
            <w:pStyle w:val="WPSOffice2"/>
            <w:tabs>
              <w:tab w:val="right" w:leader="dot" w:pos="8868"/>
            </w:tabs>
            <w:ind w:left="640"/>
            <w:rPr>
              <w:sz w:val="30"/>
              <w:szCs w:val="30"/>
            </w:rPr>
          </w:pPr>
          <w:hyperlink w:anchor="_Toc16496" w:history="1">
            <w:r w:rsidR="00FC7BEB">
              <w:rPr>
                <w:sz w:val="30"/>
                <w:szCs w:val="30"/>
              </w:rPr>
              <w:t>（二）产业融合发展，发展壮大实体经济</w:t>
            </w:r>
            <w:r w:rsidR="00FC7BEB">
              <w:rPr>
                <w:sz w:val="30"/>
                <w:szCs w:val="30"/>
              </w:rPr>
              <w:tab/>
            </w:r>
            <w:r>
              <w:rPr>
                <w:sz w:val="30"/>
                <w:szCs w:val="30"/>
              </w:rPr>
              <w:fldChar w:fldCharType="begin"/>
            </w:r>
            <w:r w:rsidR="00FC7BEB">
              <w:rPr>
                <w:sz w:val="30"/>
                <w:szCs w:val="30"/>
              </w:rPr>
              <w:instrText xml:space="preserve"> PAGEREF _Toc16496 \h </w:instrText>
            </w:r>
            <w:r>
              <w:rPr>
                <w:sz w:val="30"/>
                <w:szCs w:val="30"/>
              </w:rPr>
            </w:r>
            <w:r>
              <w:rPr>
                <w:sz w:val="30"/>
                <w:szCs w:val="30"/>
              </w:rPr>
              <w:fldChar w:fldCharType="separate"/>
            </w:r>
            <w:r w:rsidR="00FC7BEB">
              <w:rPr>
                <w:sz w:val="30"/>
                <w:szCs w:val="30"/>
              </w:rPr>
              <w:t>60</w:t>
            </w:r>
            <w:r>
              <w:rPr>
                <w:sz w:val="30"/>
                <w:szCs w:val="30"/>
              </w:rPr>
              <w:fldChar w:fldCharType="end"/>
            </w:r>
          </w:hyperlink>
        </w:p>
        <w:p w:rsidR="000816CE" w:rsidRDefault="000816CE">
          <w:pPr>
            <w:pStyle w:val="WPSOffice2"/>
            <w:tabs>
              <w:tab w:val="right" w:leader="dot" w:pos="8868"/>
            </w:tabs>
            <w:ind w:left="640"/>
            <w:rPr>
              <w:sz w:val="30"/>
              <w:szCs w:val="30"/>
            </w:rPr>
          </w:pPr>
          <w:hyperlink w:anchor="_Toc27760" w:history="1">
            <w:r w:rsidR="00FC7BEB">
              <w:rPr>
                <w:sz w:val="30"/>
                <w:szCs w:val="30"/>
              </w:rPr>
              <w:t>（三）产业集聚发展，优化服务产业体系</w:t>
            </w:r>
            <w:r w:rsidR="00FC7BEB">
              <w:rPr>
                <w:sz w:val="30"/>
                <w:szCs w:val="30"/>
              </w:rPr>
              <w:tab/>
            </w:r>
            <w:r>
              <w:rPr>
                <w:sz w:val="30"/>
                <w:szCs w:val="30"/>
              </w:rPr>
              <w:fldChar w:fldCharType="begin"/>
            </w:r>
            <w:r w:rsidR="00FC7BEB">
              <w:rPr>
                <w:sz w:val="30"/>
                <w:szCs w:val="30"/>
              </w:rPr>
              <w:instrText xml:space="preserve"> PAGEREF _Toc27760 \h </w:instrText>
            </w:r>
            <w:r>
              <w:rPr>
                <w:sz w:val="30"/>
                <w:szCs w:val="30"/>
              </w:rPr>
            </w:r>
            <w:r>
              <w:rPr>
                <w:sz w:val="30"/>
                <w:szCs w:val="30"/>
              </w:rPr>
              <w:fldChar w:fldCharType="separate"/>
            </w:r>
            <w:r w:rsidR="00FC7BEB">
              <w:rPr>
                <w:sz w:val="30"/>
                <w:szCs w:val="30"/>
              </w:rPr>
              <w:t>61</w:t>
            </w:r>
            <w:r>
              <w:rPr>
                <w:sz w:val="30"/>
                <w:szCs w:val="30"/>
              </w:rPr>
              <w:fldChar w:fldCharType="end"/>
            </w:r>
          </w:hyperlink>
        </w:p>
        <w:p w:rsidR="000816CE" w:rsidRDefault="000816CE">
          <w:pPr>
            <w:pStyle w:val="WPSOffice2"/>
            <w:tabs>
              <w:tab w:val="right" w:leader="dot" w:pos="8868"/>
            </w:tabs>
            <w:ind w:left="640"/>
            <w:rPr>
              <w:sz w:val="30"/>
              <w:szCs w:val="30"/>
            </w:rPr>
          </w:pPr>
          <w:hyperlink w:anchor="_Toc10472" w:history="1">
            <w:r w:rsidR="00FC7BEB">
              <w:rPr>
                <w:sz w:val="30"/>
                <w:szCs w:val="30"/>
              </w:rPr>
              <w:t>（四</w:t>
            </w:r>
            <w:r w:rsidR="00FC7BEB">
              <w:rPr>
                <w:sz w:val="30"/>
                <w:szCs w:val="30"/>
              </w:rPr>
              <w:t>）推进对外开放，打造高质开放平台</w:t>
            </w:r>
            <w:r w:rsidR="00FC7BEB">
              <w:rPr>
                <w:sz w:val="30"/>
                <w:szCs w:val="30"/>
              </w:rPr>
              <w:tab/>
            </w:r>
            <w:r>
              <w:rPr>
                <w:sz w:val="30"/>
                <w:szCs w:val="30"/>
              </w:rPr>
              <w:fldChar w:fldCharType="begin"/>
            </w:r>
            <w:r w:rsidR="00FC7BEB">
              <w:rPr>
                <w:sz w:val="30"/>
                <w:szCs w:val="30"/>
              </w:rPr>
              <w:instrText xml:space="preserve"> PAGEREF _Toc10472 \h </w:instrText>
            </w:r>
            <w:r>
              <w:rPr>
                <w:sz w:val="30"/>
                <w:szCs w:val="30"/>
              </w:rPr>
            </w:r>
            <w:r>
              <w:rPr>
                <w:sz w:val="30"/>
                <w:szCs w:val="30"/>
              </w:rPr>
              <w:fldChar w:fldCharType="separate"/>
            </w:r>
            <w:r w:rsidR="00FC7BEB">
              <w:rPr>
                <w:sz w:val="30"/>
                <w:szCs w:val="30"/>
              </w:rPr>
              <w:t>63</w:t>
            </w:r>
            <w:r>
              <w:rPr>
                <w:sz w:val="30"/>
                <w:szCs w:val="30"/>
              </w:rPr>
              <w:fldChar w:fldCharType="end"/>
            </w:r>
          </w:hyperlink>
        </w:p>
        <w:p w:rsidR="000816CE" w:rsidRDefault="000816CE">
          <w:pPr>
            <w:pStyle w:val="WPSOffice1"/>
            <w:tabs>
              <w:tab w:val="right" w:leader="dot" w:pos="8868"/>
            </w:tabs>
            <w:rPr>
              <w:b/>
              <w:sz w:val="30"/>
              <w:szCs w:val="30"/>
            </w:rPr>
          </w:pPr>
          <w:hyperlink w:anchor="_Toc31369" w:history="1">
            <w:r w:rsidR="00FC7BEB">
              <w:rPr>
                <w:rFonts w:hint="eastAsia"/>
                <w:b/>
                <w:sz w:val="30"/>
                <w:szCs w:val="30"/>
              </w:rPr>
              <w:t>第七章</w:t>
            </w:r>
            <w:r w:rsidR="00FC7BEB">
              <w:rPr>
                <w:rFonts w:hint="eastAsia"/>
                <w:b/>
                <w:sz w:val="30"/>
                <w:szCs w:val="30"/>
              </w:rPr>
              <w:t xml:space="preserve"> </w:t>
            </w:r>
            <w:r w:rsidR="00FC7BEB">
              <w:rPr>
                <w:rFonts w:hint="eastAsia"/>
                <w:b/>
                <w:sz w:val="30"/>
                <w:szCs w:val="30"/>
              </w:rPr>
              <w:t>保障措施</w:t>
            </w:r>
            <w:r w:rsidR="00FC7BEB">
              <w:rPr>
                <w:b/>
                <w:sz w:val="30"/>
                <w:szCs w:val="30"/>
              </w:rPr>
              <w:tab/>
            </w:r>
            <w:r>
              <w:rPr>
                <w:b/>
                <w:sz w:val="30"/>
                <w:szCs w:val="30"/>
              </w:rPr>
              <w:fldChar w:fldCharType="begin"/>
            </w:r>
            <w:r w:rsidR="00FC7BEB">
              <w:rPr>
                <w:b/>
                <w:sz w:val="30"/>
                <w:szCs w:val="30"/>
              </w:rPr>
              <w:instrText xml:space="preserve"> PAGEREF _Toc31369 \h </w:instrText>
            </w:r>
            <w:r>
              <w:rPr>
                <w:b/>
                <w:sz w:val="30"/>
                <w:szCs w:val="30"/>
              </w:rPr>
            </w:r>
            <w:r>
              <w:rPr>
                <w:b/>
                <w:sz w:val="30"/>
                <w:szCs w:val="30"/>
              </w:rPr>
              <w:fldChar w:fldCharType="separate"/>
            </w:r>
            <w:r w:rsidR="00FC7BEB">
              <w:rPr>
                <w:b/>
                <w:sz w:val="30"/>
                <w:szCs w:val="30"/>
              </w:rPr>
              <w:t>65</w:t>
            </w:r>
            <w:r>
              <w:rPr>
                <w:b/>
                <w:sz w:val="30"/>
                <w:szCs w:val="30"/>
              </w:rPr>
              <w:fldChar w:fldCharType="end"/>
            </w:r>
          </w:hyperlink>
        </w:p>
        <w:p w:rsidR="000816CE" w:rsidRDefault="000816CE">
          <w:pPr>
            <w:pStyle w:val="WPSOffice2"/>
            <w:tabs>
              <w:tab w:val="right" w:leader="dot" w:pos="8868"/>
            </w:tabs>
            <w:ind w:left="640"/>
            <w:rPr>
              <w:sz w:val="30"/>
              <w:szCs w:val="30"/>
            </w:rPr>
          </w:pPr>
          <w:hyperlink w:anchor="_Toc22330" w:history="1">
            <w:r w:rsidR="00FC7BEB">
              <w:rPr>
                <w:sz w:val="30"/>
                <w:szCs w:val="30"/>
              </w:rPr>
              <w:t>（一）体制保障</w:t>
            </w:r>
            <w:r w:rsidR="00FC7BEB">
              <w:rPr>
                <w:sz w:val="30"/>
                <w:szCs w:val="30"/>
              </w:rPr>
              <w:tab/>
            </w:r>
            <w:r>
              <w:rPr>
                <w:sz w:val="30"/>
                <w:szCs w:val="30"/>
              </w:rPr>
              <w:fldChar w:fldCharType="begin"/>
            </w:r>
            <w:r w:rsidR="00FC7BEB">
              <w:rPr>
                <w:sz w:val="30"/>
                <w:szCs w:val="30"/>
              </w:rPr>
              <w:instrText xml:space="preserve"> PAGEREF _Toc22330 \h </w:instrText>
            </w:r>
            <w:r>
              <w:rPr>
                <w:sz w:val="30"/>
                <w:szCs w:val="30"/>
              </w:rPr>
            </w:r>
            <w:r>
              <w:rPr>
                <w:sz w:val="30"/>
                <w:szCs w:val="30"/>
              </w:rPr>
              <w:fldChar w:fldCharType="separate"/>
            </w:r>
            <w:r w:rsidR="00FC7BEB">
              <w:rPr>
                <w:sz w:val="30"/>
                <w:szCs w:val="30"/>
              </w:rPr>
              <w:t>65</w:t>
            </w:r>
            <w:r>
              <w:rPr>
                <w:sz w:val="30"/>
                <w:szCs w:val="30"/>
              </w:rPr>
              <w:fldChar w:fldCharType="end"/>
            </w:r>
          </w:hyperlink>
        </w:p>
        <w:p w:rsidR="000816CE" w:rsidRDefault="000816CE">
          <w:pPr>
            <w:pStyle w:val="WPSOffice2"/>
            <w:tabs>
              <w:tab w:val="right" w:leader="dot" w:pos="8868"/>
            </w:tabs>
            <w:ind w:left="640"/>
            <w:rPr>
              <w:sz w:val="30"/>
              <w:szCs w:val="30"/>
            </w:rPr>
          </w:pPr>
          <w:hyperlink w:anchor="_Toc22624" w:history="1">
            <w:r w:rsidR="00FC7BEB">
              <w:rPr>
                <w:sz w:val="30"/>
                <w:szCs w:val="30"/>
              </w:rPr>
              <w:t>（二）要素保障</w:t>
            </w:r>
            <w:r w:rsidR="00FC7BEB">
              <w:rPr>
                <w:sz w:val="30"/>
                <w:szCs w:val="30"/>
              </w:rPr>
              <w:tab/>
            </w:r>
            <w:r>
              <w:rPr>
                <w:sz w:val="30"/>
                <w:szCs w:val="30"/>
              </w:rPr>
              <w:fldChar w:fldCharType="begin"/>
            </w:r>
            <w:r w:rsidR="00FC7BEB">
              <w:rPr>
                <w:sz w:val="30"/>
                <w:szCs w:val="30"/>
              </w:rPr>
              <w:instrText xml:space="preserve"> PAGEREF _Toc22624 \h </w:instrText>
            </w:r>
            <w:r>
              <w:rPr>
                <w:sz w:val="30"/>
                <w:szCs w:val="30"/>
              </w:rPr>
            </w:r>
            <w:r>
              <w:rPr>
                <w:sz w:val="30"/>
                <w:szCs w:val="30"/>
              </w:rPr>
              <w:fldChar w:fldCharType="separate"/>
            </w:r>
            <w:r w:rsidR="00FC7BEB">
              <w:rPr>
                <w:sz w:val="30"/>
                <w:szCs w:val="30"/>
              </w:rPr>
              <w:t>66</w:t>
            </w:r>
            <w:r>
              <w:rPr>
                <w:sz w:val="30"/>
                <w:szCs w:val="30"/>
              </w:rPr>
              <w:fldChar w:fldCharType="end"/>
            </w:r>
          </w:hyperlink>
        </w:p>
        <w:p w:rsidR="000816CE" w:rsidRDefault="000816CE">
          <w:pPr>
            <w:pStyle w:val="WPSOffice2"/>
            <w:tabs>
              <w:tab w:val="right" w:leader="dot" w:pos="8868"/>
            </w:tabs>
            <w:ind w:left="640"/>
            <w:rPr>
              <w:sz w:val="30"/>
              <w:szCs w:val="30"/>
            </w:rPr>
          </w:pPr>
          <w:hyperlink w:anchor="_Toc11121" w:history="1">
            <w:r w:rsidR="00FC7BEB">
              <w:rPr>
                <w:sz w:val="30"/>
                <w:szCs w:val="30"/>
              </w:rPr>
              <w:t>（三）组织保障</w:t>
            </w:r>
            <w:r w:rsidR="00FC7BEB">
              <w:rPr>
                <w:sz w:val="30"/>
                <w:szCs w:val="30"/>
              </w:rPr>
              <w:tab/>
            </w:r>
            <w:r>
              <w:rPr>
                <w:sz w:val="30"/>
                <w:szCs w:val="30"/>
              </w:rPr>
              <w:fldChar w:fldCharType="begin"/>
            </w:r>
            <w:r w:rsidR="00FC7BEB">
              <w:rPr>
                <w:sz w:val="30"/>
                <w:szCs w:val="30"/>
              </w:rPr>
              <w:instrText xml:space="preserve"> PAGEREF _Toc11121 \h </w:instrText>
            </w:r>
            <w:r>
              <w:rPr>
                <w:sz w:val="30"/>
                <w:szCs w:val="30"/>
              </w:rPr>
            </w:r>
            <w:r>
              <w:rPr>
                <w:sz w:val="30"/>
                <w:szCs w:val="30"/>
              </w:rPr>
              <w:fldChar w:fldCharType="separate"/>
            </w:r>
            <w:r w:rsidR="00FC7BEB">
              <w:rPr>
                <w:sz w:val="30"/>
                <w:szCs w:val="30"/>
              </w:rPr>
              <w:t>67</w:t>
            </w:r>
            <w:r>
              <w:rPr>
                <w:sz w:val="30"/>
                <w:szCs w:val="30"/>
              </w:rPr>
              <w:fldChar w:fldCharType="end"/>
            </w:r>
          </w:hyperlink>
        </w:p>
        <w:p w:rsidR="000816CE" w:rsidRDefault="000816CE">
          <w:pPr>
            <w:pStyle w:val="WPSOffice1"/>
            <w:tabs>
              <w:tab w:val="right" w:leader="dot" w:pos="8868"/>
            </w:tabs>
            <w:rPr>
              <w:b/>
            </w:rPr>
          </w:pPr>
          <w:hyperlink w:anchor="_Toc6689" w:history="1">
            <w:r w:rsidR="00FC7BEB">
              <w:rPr>
                <w:rFonts w:hint="eastAsia"/>
                <w:b/>
                <w:sz w:val="30"/>
                <w:szCs w:val="30"/>
              </w:rPr>
              <w:t>附件：莆田市“十四五”现代服务业重点建设项目表</w:t>
            </w:r>
            <w:r w:rsidR="00FC7BEB">
              <w:rPr>
                <w:b/>
                <w:sz w:val="30"/>
                <w:szCs w:val="30"/>
              </w:rPr>
              <w:tab/>
            </w:r>
            <w:r>
              <w:rPr>
                <w:b/>
                <w:sz w:val="30"/>
                <w:szCs w:val="30"/>
              </w:rPr>
              <w:fldChar w:fldCharType="begin"/>
            </w:r>
            <w:r w:rsidR="00FC7BEB">
              <w:rPr>
                <w:b/>
                <w:sz w:val="30"/>
                <w:szCs w:val="30"/>
              </w:rPr>
              <w:instrText xml:space="preserve"> PAGEREF _Toc6689 \h </w:instrText>
            </w:r>
            <w:r>
              <w:rPr>
                <w:b/>
                <w:sz w:val="30"/>
                <w:szCs w:val="30"/>
              </w:rPr>
            </w:r>
            <w:r>
              <w:rPr>
                <w:b/>
                <w:sz w:val="30"/>
                <w:szCs w:val="30"/>
              </w:rPr>
              <w:fldChar w:fldCharType="separate"/>
            </w:r>
            <w:r w:rsidR="00FC7BEB">
              <w:rPr>
                <w:b/>
                <w:sz w:val="30"/>
                <w:szCs w:val="30"/>
              </w:rPr>
              <w:t>68</w:t>
            </w:r>
            <w:r>
              <w:rPr>
                <w:b/>
                <w:sz w:val="30"/>
                <w:szCs w:val="30"/>
              </w:rPr>
              <w:fldChar w:fldCharType="end"/>
            </w:r>
          </w:hyperlink>
        </w:p>
        <w:p w:rsidR="000816CE" w:rsidRDefault="000816CE" w:rsidP="006C0D30">
          <w:pPr>
            <w:ind w:firstLine="640"/>
          </w:pPr>
          <w:r>
            <w:rPr>
              <w:b/>
            </w:rPr>
            <w:fldChar w:fldCharType="end"/>
          </w:r>
        </w:p>
      </w:sdtContent>
    </w:sdt>
    <w:p w:rsidR="000816CE" w:rsidRDefault="000816CE">
      <w:pPr>
        <w:pStyle w:val="1"/>
        <w:spacing w:before="156" w:after="156"/>
        <w:rPr>
          <w:rFonts w:ascii="黑体" w:hAnsi="黑体" w:cs="黑体"/>
          <w:sz w:val="40"/>
          <w:szCs w:val="40"/>
        </w:rPr>
        <w:sectPr w:rsidR="000816CE">
          <w:footerReference w:type="default" r:id="rId14"/>
          <w:pgSz w:w="11906" w:h="16838"/>
          <w:pgMar w:top="1440" w:right="1519" w:bottom="1702" w:left="1519" w:header="851" w:footer="992" w:gutter="0"/>
          <w:pgNumType w:fmt="upperRoman" w:start="1"/>
          <w:cols w:space="720"/>
          <w:docGrid w:type="lines" w:linePitch="312"/>
        </w:sectPr>
      </w:pPr>
      <w:bookmarkStart w:id="1" w:name="_Toc11941"/>
    </w:p>
    <w:p w:rsidR="000816CE" w:rsidRDefault="00FC7BEB">
      <w:pPr>
        <w:pStyle w:val="1"/>
        <w:spacing w:before="156" w:after="156"/>
      </w:pPr>
      <w:r>
        <w:rPr>
          <w:rFonts w:ascii="黑体" w:hAnsi="黑体" w:cs="黑体" w:hint="eastAsia"/>
          <w:sz w:val="40"/>
          <w:szCs w:val="40"/>
        </w:rPr>
        <w:lastRenderedPageBreak/>
        <w:t>前</w:t>
      </w:r>
      <w:r>
        <w:rPr>
          <w:rFonts w:ascii="黑体" w:hAnsi="黑体" w:cs="黑体" w:hint="eastAsia"/>
          <w:sz w:val="40"/>
          <w:szCs w:val="40"/>
        </w:rPr>
        <w:t xml:space="preserve">  </w:t>
      </w:r>
      <w:r>
        <w:rPr>
          <w:rFonts w:ascii="黑体" w:hAnsi="黑体" w:cs="黑体" w:hint="eastAsia"/>
          <w:sz w:val="40"/>
          <w:szCs w:val="40"/>
        </w:rPr>
        <w:t>言</w:t>
      </w:r>
      <w:bookmarkEnd w:id="1"/>
    </w:p>
    <w:p w:rsidR="000816CE" w:rsidRDefault="00FC7BEB">
      <w:pPr>
        <w:autoSpaceDE w:val="0"/>
        <w:ind w:firstLine="644"/>
        <w:rPr>
          <w:rFonts w:ascii="仿宋_GB2312" w:eastAsia="仿宋_GB2312" w:cs="仿宋_GB2312"/>
          <w:bCs/>
          <w:snapToGrid w:val="0"/>
          <w:spacing w:val="1"/>
        </w:rPr>
      </w:pPr>
      <w:r>
        <w:rPr>
          <w:rFonts w:ascii="仿宋_GB2312" w:eastAsia="仿宋_GB2312" w:cs="仿宋_GB2312" w:hint="eastAsia"/>
          <w:bCs/>
          <w:snapToGrid w:val="0"/>
          <w:spacing w:val="1"/>
        </w:rPr>
        <w:t>现代服务业在全球经济中占据了主导地位，是国家和城市核心竞争力的重要组成部分，其发展水平是衡量现代经济社会发达程度的重要标志。在经济结构加速调整、消费结构换挡升级的重要节点，抓住机遇发展现代服务业将成为经济发展的关键。加快发展服务业，是顺应产业演进规律、加快区域经济发展的现实选择，是优化经济结构、推进经济高质量发展的客观要求，也是保障和改善民生、满足人民群众日益增长的美好生活需要的重大举措。“十四五”时期，是莆田市实施强产业、兴城市“双轮”驱</w:t>
      </w:r>
      <w:r>
        <w:rPr>
          <w:rFonts w:ascii="仿宋_GB2312" w:eastAsia="仿宋_GB2312" w:cs="仿宋_GB2312" w:hint="eastAsia"/>
          <w:bCs/>
          <w:snapToGrid w:val="0"/>
          <w:spacing w:val="1"/>
        </w:rPr>
        <w:t>动，突出开放招商、强化项目带动的重大战略机遇期，也是现代服务业高质量发展的提升关键期。</w:t>
      </w:r>
    </w:p>
    <w:p w:rsidR="000816CE" w:rsidRDefault="00FC7BEB">
      <w:pPr>
        <w:ind w:firstLine="644"/>
        <w:rPr>
          <w:rFonts w:ascii="仿宋_GB2312" w:eastAsia="仿宋_GB2312" w:cs="仿宋_GB2312"/>
          <w:bCs/>
          <w:snapToGrid w:val="0"/>
          <w:spacing w:val="1"/>
        </w:rPr>
      </w:pPr>
      <w:r>
        <w:rPr>
          <w:rFonts w:ascii="仿宋_GB2312" w:eastAsia="仿宋_GB2312" w:cs="仿宋_GB2312" w:hint="eastAsia"/>
          <w:bCs/>
          <w:snapToGrid w:val="0"/>
          <w:spacing w:val="1"/>
        </w:rPr>
        <w:t>本规划以《莆田市国民经济和社会发展第十四个五年规划和二〇三五年远景目标纲要》为依据，与国家发展改革委《服务业创新发展大纲</w:t>
      </w:r>
      <w:r>
        <w:rPr>
          <w:rFonts w:eastAsia="仿宋_GB2312"/>
          <w:bCs/>
          <w:snapToGrid w:val="0"/>
          <w:spacing w:val="1"/>
        </w:rPr>
        <w:t>（</w:t>
      </w:r>
      <w:r>
        <w:rPr>
          <w:rFonts w:eastAsia="仿宋_GB2312"/>
          <w:bCs/>
          <w:snapToGrid w:val="0"/>
          <w:spacing w:val="1"/>
        </w:rPr>
        <w:t xml:space="preserve">2017—2025 </w:t>
      </w:r>
      <w:r>
        <w:rPr>
          <w:rFonts w:eastAsia="仿宋_GB2312"/>
          <w:bCs/>
          <w:snapToGrid w:val="0"/>
          <w:spacing w:val="1"/>
        </w:rPr>
        <w:t>年）</w:t>
      </w:r>
      <w:r>
        <w:rPr>
          <w:rFonts w:ascii="仿宋_GB2312" w:eastAsia="仿宋_GB2312" w:cs="仿宋_GB2312" w:hint="eastAsia"/>
          <w:bCs/>
          <w:snapToGrid w:val="0"/>
          <w:spacing w:val="1"/>
        </w:rPr>
        <w:t>》《国家发展改革委市场监管总局关于新时代服务业高质量发展的指导意见》《福建省国民经济和社会发展第十四个五年规划和二〇三五年远景目标纲要》等相衔接，主要阐明莆田市“十四五”时期现代服务业的发展思路、主要目标、重点任务和保障措施，是未来五年指导莆田市现代服务业发展的行动纲领和制定相</w:t>
      </w:r>
      <w:r>
        <w:rPr>
          <w:rFonts w:ascii="仿宋_GB2312" w:eastAsia="仿宋_GB2312" w:cs="仿宋_GB2312" w:hint="eastAsia"/>
          <w:bCs/>
          <w:snapToGrid w:val="0"/>
          <w:spacing w:val="1"/>
        </w:rPr>
        <w:t>关政策的重要依据。</w:t>
      </w:r>
    </w:p>
    <w:p w:rsidR="000816CE" w:rsidRDefault="00FC7BEB">
      <w:pPr>
        <w:autoSpaceDE w:val="0"/>
        <w:ind w:firstLine="644"/>
        <w:rPr>
          <w:rFonts w:eastAsia="黑体"/>
        </w:rPr>
        <w:sectPr w:rsidR="000816CE">
          <w:footerReference w:type="default" r:id="rId15"/>
          <w:pgSz w:w="11906" w:h="16838"/>
          <w:pgMar w:top="1440" w:right="1519" w:bottom="1702" w:left="1519" w:header="851" w:footer="992" w:gutter="0"/>
          <w:pgNumType w:start="1"/>
          <w:cols w:space="720"/>
          <w:docGrid w:type="lines" w:linePitch="312"/>
        </w:sectPr>
      </w:pPr>
      <w:r>
        <w:rPr>
          <w:rFonts w:ascii="仿宋_GB2312" w:eastAsia="仿宋_GB2312" w:cs="仿宋_GB2312" w:hint="eastAsia"/>
          <w:bCs/>
          <w:snapToGrid w:val="0"/>
          <w:spacing w:val="1"/>
        </w:rPr>
        <w:t>本规划的基准年为</w:t>
      </w:r>
      <w:r>
        <w:rPr>
          <w:rFonts w:eastAsia="仿宋_GB2312"/>
          <w:bCs/>
          <w:snapToGrid w:val="0"/>
          <w:spacing w:val="1"/>
        </w:rPr>
        <w:t>2020</w:t>
      </w:r>
      <w:r>
        <w:rPr>
          <w:rFonts w:eastAsia="仿宋_GB2312"/>
          <w:bCs/>
          <w:snapToGrid w:val="0"/>
          <w:spacing w:val="1"/>
        </w:rPr>
        <w:t>年，规划期限为</w:t>
      </w:r>
      <w:r>
        <w:rPr>
          <w:rFonts w:eastAsia="仿宋_GB2312"/>
          <w:bCs/>
          <w:snapToGrid w:val="0"/>
          <w:spacing w:val="1"/>
        </w:rPr>
        <w:t>2021-2025</w:t>
      </w:r>
      <w:r>
        <w:rPr>
          <w:rFonts w:ascii="仿宋_GB2312" w:eastAsia="仿宋_GB2312" w:cs="仿宋_GB2312" w:hint="eastAsia"/>
          <w:bCs/>
          <w:snapToGrid w:val="0"/>
          <w:spacing w:val="1"/>
        </w:rPr>
        <w:t>年</w:t>
      </w:r>
      <w:r>
        <w:rPr>
          <w:rFonts w:hint="eastAsia"/>
        </w:rPr>
        <w:t>。</w:t>
      </w:r>
    </w:p>
    <w:p w:rsidR="000816CE" w:rsidRDefault="00FC7BEB">
      <w:pPr>
        <w:pStyle w:val="1"/>
        <w:spacing w:before="156" w:after="156"/>
      </w:pPr>
      <w:bookmarkStart w:id="2" w:name="_Toc21397"/>
      <w:r>
        <w:rPr>
          <w:rFonts w:hint="eastAsia"/>
        </w:rPr>
        <w:lastRenderedPageBreak/>
        <w:t>第一章</w:t>
      </w:r>
      <w:r>
        <w:rPr>
          <w:rFonts w:hint="eastAsia"/>
        </w:rPr>
        <w:t xml:space="preserve"> </w:t>
      </w:r>
      <w:r>
        <w:rPr>
          <w:rFonts w:hint="eastAsia"/>
        </w:rPr>
        <w:t>发展环境</w:t>
      </w:r>
      <w:bookmarkEnd w:id="2"/>
    </w:p>
    <w:p w:rsidR="000816CE" w:rsidRDefault="00FC7BEB" w:rsidP="006C0D30">
      <w:pPr>
        <w:pStyle w:val="2"/>
        <w:spacing w:before="156" w:after="156"/>
        <w:ind w:firstLine="640"/>
        <w:rPr>
          <w:rFonts w:hint="default"/>
        </w:rPr>
      </w:pPr>
      <w:bookmarkStart w:id="3" w:name="_Toc27506"/>
      <w:r>
        <w:rPr>
          <w:rStyle w:val="2Char"/>
          <w:rFonts w:cs="Times New Roman" w:hint="default"/>
          <w:b/>
        </w:rPr>
        <w:t>（一）</w:t>
      </w:r>
      <w:r>
        <w:rPr>
          <w:rStyle w:val="2Char"/>
          <w:b/>
        </w:rPr>
        <w:t>发展基础</w:t>
      </w:r>
      <w:bookmarkEnd w:id="3"/>
      <w:r>
        <w:rPr>
          <w:rStyle w:val="2Char"/>
          <w:b/>
        </w:rPr>
        <w:t xml:space="preserve"> </w:t>
      </w:r>
      <w:r>
        <w:t xml:space="preserve"> </w:t>
      </w:r>
    </w:p>
    <w:p w:rsidR="000816CE" w:rsidRDefault="00FC7BEB">
      <w:pPr>
        <w:autoSpaceDE w:val="0"/>
        <w:ind w:firstLine="644"/>
        <w:rPr>
          <w:rFonts w:ascii="仿宋_GB2312" w:eastAsia="仿宋_GB2312" w:cs="仿宋_GB2312"/>
          <w:bCs/>
          <w:snapToGrid w:val="0"/>
          <w:spacing w:val="1"/>
        </w:rPr>
      </w:pPr>
      <w:r>
        <w:rPr>
          <w:rFonts w:ascii="仿宋_GB2312" w:eastAsia="仿宋_GB2312" w:cs="仿宋_GB2312" w:hint="eastAsia"/>
          <w:bCs/>
          <w:snapToGrid w:val="0"/>
          <w:spacing w:val="1"/>
        </w:rPr>
        <w:t>“十三五”期间，全市现代服务业规模不断提升，比重持续扩大，结构逐步优化，平台建设成效显著，改革开放成果丰硕，发展质量不断提高，有力推动了产业转型和消费升级，成为带动经济增长的主要力量，</w:t>
      </w:r>
      <w:r>
        <w:rPr>
          <w:rFonts w:ascii="仿宋_GB2312" w:eastAsia="仿宋_GB2312" w:hAnsi="宋体" w:cs="宋体" w:hint="eastAsia"/>
          <w:kern w:val="0"/>
        </w:rPr>
        <w:t>为全面建成小康社会收官打下良好基础。</w:t>
      </w:r>
      <w:r>
        <w:rPr>
          <w:rFonts w:ascii="仿宋_GB2312" w:eastAsia="仿宋_GB2312" w:cs="仿宋_GB2312" w:hint="eastAsia"/>
          <w:bCs/>
          <w:snapToGrid w:val="0"/>
          <w:spacing w:val="1"/>
        </w:rPr>
        <w:t xml:space="preserve"> </w:t>
      </w:r>
    </w:p>
    <w:p w:rsidR="000816CE" w:rsidRDefault="00FC7BEB" w:rsidP="006C0D30">
      <w:pPr>
        <w:pStyle w:val="3"/>
        <w:spacing w:before="156" w:after="156"/>
        <w:ind w:firstLine="640"/>
        <w:rPr>
          <w:rFonts w:hint="default"/>
          <w:snapToGrid w:val="0"/>
        </w:rPr>
      </w:pPr>
      <w:r>
        <w:rPr>
          <w:szCs w:val="36"/>
        </w:rPr>
        <w:t>1.</w:t>
      </w:r>
      <w:r>
        <w:rPr>
          <w:szCs w:val="36"/>
        </w:rPr>
        <w:t>现代</w:t>
      </w:r>
      <w:r>
        <w:rPr>
          <w:snapToGrid w:val="0"/>
        </w:rPr>
        <w:t>服务业地位日益提升</w:t>
      </w:r>
    </w:p>
    <w:p w:rsidR="000816CE" w:rsidRDefault="00FC7BEB">
      <w:pPr>
        <w:ind w:firstLine="644"/>
        <w:rPr>
          <w:rFonts w:ascii="仿宋_GB2312" w:eastAsia="仿宋_GB2312"/>
        </w:rPr>
      </w:pPr>
      <w:r>
        <w:rPr>
          <w:rFonts w:ascii="仿宋" w:hAnsi="仿宋" w:cs="仿宋" w:hint="eastAsia"/>
          <w:bCs/>
          <w:snapToGrid w:val="0"/>
          <w:spacing w:val="1"/>
        </w:rPr>
        <w:t>“十三五”</w:t>
      </w:r>
      <w:r>
        <w:rPr>
          <w:rFonts w:eastAsia="仿宋_GB2312"/>
          <w:bCs/>
          <w:snapToGrid w:val="0"/>
          <w:spacing w:val="1"/>
        </w:rPr>
        <w:t>时期，莆田市现代服务业经济稳步增长，结构持续优化调整。</w:t>
      </w:r>
      <w:r>
        <w:rPr>
          <w:b/>
        </w:rPr>
        <w:t>从总量看，</w:t>
      </w:r>
      <w:r>
        <w:rPr>
          <w:rFonts w:eastAsia="仿宋_GB2312"/>
          <w:bCs/>
          <w:snapToGrid w:val="0"/>
          <w:spacing w:val="1"/>
        </w:rPr>
        <w:t>2020</w:t>
      </w:r>
      <w:r>
        <w:rPr>
          <w:rFonts w:eastAsia="仿宋_GB2312"/>
          <w:bCs/>
          <w:snapToGrid w:val="0"/>
          <w:spacing w:val="1"/>
        </w:rPr>
        <w:t>年全市服务业增加值实现</w:t>
      </w:r>
      <w:r>
        <w:rPr>
          <w:rFonts w:eastAsia="仿宋_GB2312"/>
          <w:bCs/>
          <w:snapToGrid w:val="0"/>
          <w:spacing w:val="1"/>
        </w:rPr>
        <w:t>1155.97</w:t>
      </w:r>
      <w:r>
        <w:rPr>
          <w:rFonts w:eastAsia="仿宋_GB2312"/>
          <w:bCs/>
          <w:snapToGrid w:val="0"/>
          <w:spacing w:val="1"/>
        </w:rPr>
        <w:t>亿元，是</w:t>
      </w:r>
      <w:r>
        <w:rPr>
          <w:rFonts w:eastAsia="仿宋_GB2312"/>
          <w:bCs/>
          <w:snapToGrid w:val="0"/>
          <w:spacing w:val="1"/>
        </w:rPr>
        <w:t>2015</w:t>
      </w:r>
      <w:r>
        <w:rPr>
          <w:rFonts w:eastAsia="仿宋_GB2312"/>
          <w:bCs/>
          <w:snapToGrid w:val="0"/>
          <w:spacing w:val="1"/>
        </w:rPr>
        <w:t>年的</w:t>
      </w:r>
      <w:r>
        <w:rPr>
          <w:rFonts w:eastAsia="仿宋_GB2312" w:hint="eastAsia"/>
          <w:bCs/>
          <w:snapToGrid w:val="0"/>
          <w:spacing w:val="1"/>
        </w:rPr>
        <w:t>近</w:t>
      </w:r>
      <w:r>
        <w:rPr>
          <w:rFonts w:eastAsia="仿宋_GB2312" w:hint="eastAsia"/>
          <w:bCs/>
          <w:snapToGrid w:val="0"/>
          <w:spacing w:val="1"/>
        </w:rPr>
        <w:t>2</w:t>
      </w:r>
      <w:r>
        <w:rPr>
          <w:rFonts w:eastAsia="仿宋_GB2312"/>
          <w:bCs/>
          <w:snapToGrid w:val="0"/>
          <w:spacing w:val="1"/>
        </w:rPr>
        <w:t>倍，居全省第</w:t>
      </w:r>
      <w:r>
        <w:rPr>
          <w:rFonts w:eastAsia="仿宋_GB2312"/>
          <w:bCs/>
          <w:snapToGrid w:val="0"/>
          <w:spacing w:val="1"/>
        </w:rPr>
        <w:t>6</w:t>
      </w:r>
      <w:r>
        <w:rPr>
          <w:rFonts w:eastAsia="仿宋_GB2312"/>
          <w:bCs/>
          <w:snapToGrid w:val="0"/>
          <w:spacing w:val="1"/>
        </w:rPr>
        <w:t>位。</w:t>
      </w:r>
      <w:r>
        <w:rPr>
          <w:b/>
        </w:rPr>
        <w:t>从增速看，</w:t>
      </w:r>
      <w:r>
        <w:rPr>
          <w:rFonts w:ascii="仿宋" w:hAnsi="仿宋" w:cs="仿宋" w:hint="eastAsia"/>
          <w:bCs/>
          <w:snapToGrid w:val="0"/>
          <w:spacing w:val="1"/>
        </w:rPr>
        <w:t>“十三五”</w:t>
      </w:r>
      <w:r>
        <w:rPr>
          <w:rFonts w:eastAsia="仿宋_GB2312"/>
          <w:bCs/>
          <w:snapToGrid w:val="0"/>
          <w:spacing w:val="1"/>
        </w:rPr>
        <w:t>时期年均增长</w:t>
      </w:r>
      <w:r>
        <w:rPr>
          <w:rFonts w:eastAsia="仿宋_GB2312"/>
          <w:bCs/>
          <w:snapToGrid w:val="0"/>
          <w:spacing w:val="1"/>
        </w:rPr>
        <w:t>8.9%</w:t>
      </w:r>
      <w:r>
        <w:rPr>
          <w:rFonts w:eastAsia="仿宋_GB2312"/>
          <w:bCs/>
          <w:snapToGrid w:val="0"/>
          <w:spacing w:val="1"/>
        </w:rPr>
        <w:t>，比全省平均水平高</w:t>
      </w:r>
      <w:r>
        <w:rPr>
          <w:rFonts w:eastAsia="仿宋_GB2312"/>
          <w:bCs/>
          <w:snapToGrid w:val="0"/>
          <w:spacing w:val="1"/>
        </w:rPr>
        <w:t>0.1</w:t>
      </w:r>
      <w:r>
        <w:rPr>
          <w:rFonts w:eastAsia="仿宋_GB2312"/>
          <w:bCs/>
          <w:snapToGrid w:val="0"/>
          <w:spacing w:val="1"/>
        </w:rPr>
        <w:t>个百分点，比</w:t>
      </w:r>
      <w:r>
        <w:rPr>
          <w:rFonts w:eastAsia="仿宋_GB2312"/>
          <w:bCs/>
          <w:snapToGrid w:val="0"/>
          <w:spacing w:val="1"/>
        </w:rPr>
        <w:t>GDP</w:t>
      </w:r>
      <w:r>
        <w:rPr>
          <w:rFonts w:eastAsia="仿宋_GB2312"/>
          <w:bCs/>
          <w:snapToGrid w:val="0"/>
          <w:spacing w:val="1"/>
        </w:rPr>
        <w:t>和第二产业分别高</w:t>
      </w:r>
      <w:r>
        <w:rPr>
          <w:rFonts w:eastAsia="仿宋_GB2312"/>
          <w:bCs/>
          <w:snapToGrid w:val="0"/>
          <w:spacing w:val="1"/>
        </w:rPr>
        <w:t>1.8</w:t>
      </w:r>
      <w:r>
        <w:rPr>
          <w:rFonts w:eastAsia="仿宋_GB2312"/>
          <w:bCs/>
          <w:snapToGrid w:val="0"/>
          <w:spacing w:val="1"/>
        </w:rPr>
        <w:t>和</w:t>
      </w:r>
      <w:r>
        <w:rPr>
          <w:rFonts w:eastAsia="仿宋_GB2312"/>
          <w:bCs/>
          <w:snapToGrid w:val="0"/>
          <w:spacing w:val="1"/>
        </w:rPr>
        <w:t>2.9</w:t>
      </w:r>
      <w:r>
        <w:rPr>
          <w:rFonts w:eastAsia="仿宋_GB2312"/>
          <w:bCs/>
          <w:snapToGrid w:val="0"/>
          <w:spacing w:val="1"/>
        </w:rPr>
        <w:t>个百分点。</w:t>
      </w:r>
      <w:r>
        <w:rPr>
          <w:b/>
        </w:rPr>
        <w:t>从占比看，</w:t>
      </w:r>
      <w:r>
        <w:t>2020</w:t>
      </w:r>
      <w:r>
        <w:t>年莆田市</w:t>
      </w:r>
      <w:r>
        <w:rPr>
          <w:rFonts w:eastAsia="仿宋_GB2312"/>
          <w:bCs/>
          <w:snapToGrid w:val="0"/>
          <w:spacing w:val="1"/>
        </w:rPr>
        <w:t>服务业增加值占</w:t>
      </w:r>
      <w:r>
        <w:rPr>
          <w:rFonts w:eastAsia="仿宋_GB2312"/>
          <w:bCs/>
          <w:snapToGrid w:val="0"/>
          <w:spacing w:val="1"/>
        </w:rPr>
        <w:t>GDP</w:t>
      </w:r>
      <w:r>
        <w:rPr>
          <w:rFonts w:eastAsia="仿宋_GB2312"/>
          <w:bCs/>
          <w:snapToGrid w:val="0"/>
          <w:spacing w:val="1"/>
        </w:rPr>
        <w:t>比重由</w:t>
      </w:r>
      <w:r>
        <w:rPr>
          <w:rFonts w:eastAsia="仿宋_GB2312"/>
          <w:bCs/>
          <w:snapToGrid w:val="0"/>
          <w:spacing w:val="1"/>
        </w:rPr>
        <w:t>2015</w:t>
      </w:r>
      <w:r>
        <w:rPr>
          <w:rFonts w:eastAsia="仿宋_GB2312"/>
          <w:bCs/>
          <w:snapToGrid w:val="0"/>
          <w:spacing w:val="1"/>
        </w:rPr>
        <w:t>年的</w:t>
      </w:r>
      <w:r>
        <w:rPr>
          <w:rFonts w:eastAsia="仿宋_GB2312"/>
          <w:bCs/>
          <w:snapToGrid w:val="0"/>
          <w:spacing w:val="1"/>
        </w:rPr>
        <w:t>35.7%</w:t>
      </w:r>
      <w:r>
        <w:rPr>
          <w:rFonts w:eastAsia="仿宋_GB2312"/>
          <w:bCs/>
          <w:snapToGrid w:val="0"/>
          <w:spacing w:val="1"/>
        </w:rPr>
        <w:t>提高到</w:t>
      </w:r>
      <w:r>
        <w:rPr>
          <w:rFonts w:eastAsia="仿宋_GB2312"/>
          <w:bCs/>
          <w:snapToGrid w:val="0"/>
          <w:spacing w:val="1"/>
        </w:rPr>
        <w:t>43.7%</w:t>
      </w:r>
      <w:r>
        <w:rPr>
          <w:rFonts w:eastAsia="仿宋_GB2312"/>
          <w:bCs/>
          <w:snapToGrid w:val="0"/>
          <w:spacing w:val="1"/>
        </w:rPr>
        <w:t>，</w:t>
      </w:r>
      <w:r>
        <w:rPr>
          <w:rFonts w:eastAsia="仿宋_GB2312"/>
          <w:kern w:val="0"/>
        </w:rPr>
        <w:t>比</w:t>
      </w:r>
      <w:r>
        <w:rPr>
          <w:rFonts w:ascii="仿宋" w:hAnsi="仿宋" w:cs="仿宋" w:hint="eastAsia"/>
          <w:kern w:val="0"/>
        </w:rPr>
        <w:t>“十二五”末</w:t>
      </w:r>
      <w:r>
        <w:rPr>
          <w:rFonts w:eastAsia="仿宋_GB2312"/>
          <w:kern w:val="0"/>
        </w:rPr>
        <w:t>提高</w:t>
      </w:r>
      <w:r>
        <w:rPr>
          <w:rFonts w:eastAsia="仿宋_GB2312"/>
          <w:kern w:val="0"/>
        </w:rPr>
        <w:t>8</w:t>
      </w:r>
      <w:r>
        <w:rPr>
          <w:rFonts w:eastAsia="仿宋_GB2312"/>
          <w:kern w:val="0"/>
        </w:rPr>
        <w:t>个百分点，</w:t>
      </w:r>
      <w:r>
        <w:rPr>
          <w:rFonts w:eastAsia="仿宋_GB2312" w:hint="eastAsia"/>
          <w:kern w:val="0"/>
        </w:rPr>
        <w:t>服务业增加值占</w:t>
      </w:r>
      <w:r>
        <w:rPr>
          <w:rFonts w:eastAsia="仿宋_GB2312" w:hint="eastAsia"/>
          <w:kern w:val="0"/>
        </w:rPr>
        <w:t>GDP</w:t>
      </w:r>
      <w:r>
        <w:rPr>
          <w:rFonts w:eastAsia="仿宋_GB2312" w:hint="eastAsia"/>
          <w:kern w:val="0"/>
        </w:rPr>
        <w:t>比重提升值</w:t>
      </w:r>
      <w:r>
        <w:t>居全省第</w:t>
      </w:r>
      <w:r>
        <w:t>3</w:t>
      </w:r>
      <w:r>
        <w:t>位。</w:t>
      </w:r>
      <w:r>
        <w:rPr>
          <w:rFonts w:ascii="仿宋_GB2312" w:eastAsia="仿宋_GB2312" w:hint="eastAsia"/>
          <w:b/>
        </w:rPr>
        <w:t>从贡献看，</w:t>
      </w:r>
      <w:r>
        <w:rPr>
          <w:rFonts w:ascii="仿宋_GB2312" w:eastAsia="仿宋_GB2312" w:hint="eastAsia"/>
        </w:rPr>
        <w:t>2020</w:t>
      </w:r>
      <w:r>
        <w:rPr>
          <w:rFonts w:ascii="仿宋_GB2312" w:eastAsia="仿宋_GB2312" w:hint="eastAsia"/>
        </w:rPr>
        <w:t>年，服务业增加值对</w:t>
      </w:r>
      <w:r>
        <w:rPr>
          <w:rFonts w:ascii="仿宋_GB2312" w:eastAsia="仿宋_GB2312" w:hint="eastAsia"/>
        </w:rPr>
        <w:t>GDP</w:t>
      </w:r>
      <w:r>
        <w:rPr>
          <w:rFonts w:ascii="仿宋_GB2312" w:eastAsia="仿宋_GB2312" w:hint="eastAsia"/>
        </w:rPr>
        <w:t>增长贡献</w:t>
      </w:r>
      <w:r>
        <w:rPr>
          <w:rFonts w:ascii="仿宋_GB2312" w:eastAsia="仿宋_GB2312" w:hAnsi="仿宋_GB2312" w:cs="仿宋_GB2312" w:hint="eastAsia"/>
        </w:rPr>
        <w:t>率达</w:t>
      </w:r>
      <w:r>
        <w:rPr>
          <w:rFonts w:ascii="仿宋_GB2312" w:eastAsia="仿宋_GB2312" w:hAnsi="仿宋_GB2312" w:cs="仿宋_GB2312" w:hint="eastAsia"/>
        </w:rPr>
        <w:t>73%</w:t>
      </w:r>
      <w:r>
        <w:rPr>
          <w:rFonts w:ascii="仿宋_GB2312" w:eastAsia="仿宋_GB2312" w:hAnsi="仿宋_GB2312" w:cs="仿宋_GB2312" w:hint="eastAsia"/>
        </w:rPr>
        <w:t>；服务业</w:t>
      </w:r>
      <w:r>
        <w:rPr>
          <w:rFonts w:ascii="仿宋_GB2312" w:eastAsia="仿宋_GB2312" w:hAnsi="宋体" w:cs="宋体" w:hint="eastAsia"/>
        </w:rPr>
        <w:t>税收占</w:t>
      </w:r>
      <w:r>
        <w:rPr>
          <w:rFonts w:ascii="仿宋_GB2312" w:eastAsia="仿宋_GB2312" w:hAnsi="宋体" w:cs="宋体" w:hint="eastAsia"/>
        </w:rPr>
        <w:t>全市税收的</w:t>
      </w:r>
      <w:r>
        <w:rPr>
          <w:rFonts w:ascii="仿宋_GB2312" w:eastAsia="仿宋_GB2312" w:hAnsi="宋体" w:cs="宋体" w:hint="eastAsia"/>
        </w:rPr>
        <w:t>63%</w:t>
      </w:r>
      <w:r>
        <w:rPr>
          <w:rFonts w:ascii="仿宋_GB2312" w:eastAsia="仿宋_GB2312" w:hAnsi="宋体" w:cs="宋体" w:hint="eastAsia"/>
        </w:rPr>
        <w:t>；</w:t>
      </w:r>
      <w:r>
        <w:rPr>
          <w:rFonts w:ascii="仿宋_GB2312" w:eastAsia="仿宋_GB2312" w:hAnsi="仿宋_GB2312" w:cs="仿宋_GB2312" w:hint="eastAsia"/>
        </w:rPr>
        <w:t>固投占全社会固投的</w:t>
      </w:r>
      <w:r>
        <w:rPr>
          <w:rFonts w:ascii="仿宋_GB2312" w:eastAsia="仿宋_GB2312" w:hAnsi="仿宋_GB2312" w:cs="仿宋_GB2312" w:hint="eastAsia"/>
        </w:rPr>
        <w:t>70%</w:t>
      </w:r>
      <w:r>
        <w:rPr>
          <w:rFonts w:ascii="仿宋_GB2312" w:eastAsia="仿宋_GB2312" w:hAnsi="仿宋_GB2312" w:cs="仿宋_GB2312" w:hint="eastAsia"/>
        </w:rPr>
        <w:t>以上；</w:t>
      </w:r>
      <w:r>
        <w:rPr>
          <w:rFonts w:ascii="仿宋_GB2312" w:eastAsia="仿宋_GB2312" w:hint="eastAsia"/>
        </w:rPr>
        <w:t>市场主体占全市市场主体总量的</w:t>
      </w:r>
      <w:r>
        <w:rPr>
          <w:rFonts w:ascii="仿宋_GB2312" w:eastAsia="仿宋_GB2312" w:hint="eastAsia"/>
        </w:rPr>
        <w:t>86.3%</w:t>
      </w:r>
      <w:r>
        <w:rPr>
          <w:rFonts w:ascii="仿宋_GB2312" w:eastAsia="仿宋_GB2312" w:hint="eastAsia"/>
        </w:rPr>
        <w:t>。</w:t>
      </w:r>
    </w:p>
    <w:p w:rsidR="000816CE" w:rsidRDefault="00FC7BEB" w:rsidP="006C0D30">
      <w:pPr>
        <w:pStyle w:val="3"/>
        <w:spacing w:before="156" w:after="156"/>
        <w:ind w:firstLine="640"/>
        <w:rPr>
          <w:rFonts w:hint="default"/>
        </w:rPr>
      </w:pPr>
      <w:r>
        <w:lastRenderedPageBreak/>
        <w:t>2.</w:t>
      </w:r>
      <w:r>
        <w:t>生产性服务业全面跃升</w:t>
      </w:r>
    </w:p>
    <w:p w:rsidR="000816CE" w:rsidRDefault="00FC7BEB" w:rsidP="006C0D30">
      <w:pPr>
        <w:ind w:firstLine="640"/>
        <w:rPr>
          <w:rFonts w:eastAsia="仿宋_GB2312"/>
        </w:rPr>
      </w:pPr>
      <w:r>
        <w:rPr>
          <w:rFonts w:hint="eastAsia"/>
          <w:b/>
        </w:rPr>
        <w:t>电子商务业厚积薄发。</w:t>
      </w:r>
      <w:r>
        <w:rPr>
          <w:rFonts w:hint="eastAsia"/>
        </w:rPr>
        <w:t>“</w:t>
      </w:r>
      <w:r>
        <w:rPr>
          <w:rFonts w:ascii="仿宋_GB2312" w:eastAsia="仿宋_GB2312" w:hAnsi="仿宋_GB2312" w:cs="仿宋_GB2312" w:hint="eastAsia"/>
        </w:rPr>
        <w:t>十三五”以来，</w:t>
      </w:r>
      <w:r>
        <w:rPr>
          <w:rFonts w:eastAsia="仿宋_GB2312"/>
        </w:rPr>
        <w:t>全市已形成产业集聚、模式多样、行业融合、人才荟萃的电商发展体系。截至</w:t>
      </w:r>
      <w:r>
        <w:rPr>
          <w:rFonts w:eastAsia="仿宋_GB2312"/>
        </w:rPr>
        <w:t>2020</w:t>
      </w:r>
      <w:r>
        <w:rPr>
          <w:rFonts w:eastAsia="仿宋_GB2312"/>
        </w:rPr>
        <w:t>年底，全市共有限上电商企业数</w:t>
      </w:r>
      <w:r>
        <w:rPr>
          <w:rFonts w:eastAsia="仿宋_GB2312"/>
        </w:rPr>
        <w:t>556</w:t>
      </w:r>
      <w:r>
        <w:rPr>
          <w:rFonts w:eastAsia="仿宋_GB2312"/>
        </w:rPr>
        <w:t>家，较</w:t>
      </w:r>
      <w:r>
        <w:rPr>
          <w:rFonts w:eastAsia="仿宋_GB2312"/>
        </w:rPr>
        <w:t>2016</w:t>
      </w:r>
      <w:r>
        <w:rPr>
          <w:rFonts w:eastAsia="仿宋_GB2312"/>
        </w:rPr>
        <w:t>年底增加了</w:t>
      </w:r>
      <w:r>
        <w:rPr>
          <w:rFonts w:eastAsia="仿宋_GB2312"/>
        </w:rPr>
        <w:t>338</w:t>
      </w:r>
      <w:r>
        <w:rPr>
          <w:rFonts w:eastAsia="仿宋_GB2312"/>
        </w:rPr>
        <w:t>家；</w:t>
      </w:r>
      <w:r>
        <w:rPr>
          <w:rFonts w:eastAsia="仿宋_GB2312"/>
        </w:rPr>
        <w:t>2020</w:t>
      </w:r>
      <w:r>
        <w:rPr>
          <w:rFonts w:eastAsia="仿宋_GB2312"/>
        </w:rPr>
        <w:t>年全市完成限上电商企业网络零售额</w:t>
      </w:r>
      <w:r>
        <w:rPr>
          <w:rFonts w:eastAsia="仿宋_GB2312"/>
        </w:rPr>
        <w:t>261</w:t>
      </w:r>
      <w:r>
        <w:rPr>
          <w:rFonts w:eastAsia="仿宋_GB2312"/>
        </w:rPr>
        <w:t>亿元，是</w:t>
      </w:r>
      <w:r>
        <w:rPr>
          <w:rFonts w:eastAsia="仿宋_GB2312"/>
        </w:rPr>
        <w:t>2016</w:t>
      </w:r>
      <w:r>
        <w:rPr>
          <w:rFonts w:eastAsia="仿宋_GB2312"/>
        </w:rPr>
        <w:t>年的</w:t>
      </w:r>
      <w:r>
        <w:rPr>
          <w:rFonts w:eastAsia="仿宋_GB2312"/>
        </w:rPr>
        <w:t>3.2</w:t>
      </w:r>
      <w:r>
        <w:rPr>
          <w:rFonts w:eastAsia="仿宋_GB2312"/>
        </w:rPr>
        <w:t>倍。</w:t>
      </w:r>
      <w:r>
        <w:rPr>
          <w:bCs/>
        </w:rPr>
        <w:t>集聚效应日益凸显，</w:t>
      </w:r>
      <w:r>
        <w:rPr>
          <w:rFonts w:eastAsia="仿宋_GB2312"/>
        </w:rPr>
        <w:t>全市已形成京东（仙游）数字经济产业园、安福电商城、莆田电子商务区域创新合作中心（跨境虚拟集采中心）等电商集聚区。经营业态纷</w:t>
      </w:r>
      <w:r>
        <w:rPr>
          <w:rFonts w:eastAsia="仿宋_GB2312"/>
        </w:rPr>
        <w:t>呈出新，一批本土网商品牌不断涌现，近年来共获评</w:t>
      </w:r>
      <w:r>
        <w:rPr>
          <w:rFonts w:eastAsia="仿宋_GB2312"/>
        </w:rPr>
        <w:t>1</w:t>
      </w:r>
      <w:r>
        <w:rPr>
          <w:rFonts w:eastAsia="仿宋_GB2312"/>
        </w:rPr>
        <w:t>家国家级电子商务示范企业、</w:t>
      </w:r>
      <w:r>
        <w:rPr>
          <w:rFonts w:eastAsia="仿宋_GB2312"/>
        </w:rPr>
        <w:t>2</w:t>
      </w:r>
      <w:r>
        <w:rPr>
          <w:rFonts w:eastAsia="仿宋_GB2312"/>
        </w:rPr>
        <w:t>家省级电子商务示范企业。跨境电商迅猛发展，</w:t>
      </w:r>
      <w:r>
        <w:rPr>
          <w:rFonts w:eastAsia="仿宋_GB2312"/>
        </w:rPr>
        <w:t>2020</w:t>
      </w:r>
      <w:r>
        <w:rPr>
          <w:rFonts w:eastAsia="仿宋_GB2312"/>
        </w:rPr>
        <w:t>年</w:t>
      </w:r>
      <w:r>
        <w:rPr>
          <w:rFonts w:eastAsia="仿宋_GB2312"/>
        </w:rPr>
        <w:t>4</w:t>
      </w:r>
      <w:r>
        <w:rPr>
          <w:rFonts w:eastAsia="仿宋_GB2312"/>
        </w:rPr>
        <w:t>月，莆田市正式获批设立第五批国家级跨境电子商务综合试验区，国家级政策正式落地莆田。</w:t>
      </w:r>
    </w:p>
    <w:p w:rsidR="000816CE" w:rsidRDefault="00FC7BEB" w:rsidP="006C0D30">
      <w:pPr>
        <w:ind w:firstLine="640"/>
      </w:pPr>
      <w:r>
        <w:rPr>
          <w:rFonts w:hint="eastAsia"/>
          <w:b/>
        </w:rPr>
        <w:t>金融服务业稳健发展</w:t>
      </w:r>
      <w:r>
        <w:rPr>
          <w:rFonts w:hint="eastAsia"/>
        </w:rPr>
        <w:t>。十三五以来，莆田市持续推进“引融入莆”工程，金融业规模持续扩展，金融业服务社会经济发展取得良好成效。金融体量持续做</w:t>
      </w:r>
      <w:r>
        <w:t>大，</w:t>
      </w:r>
      <w:r>
        <w:t>2020</w:t>
      </w:r>
      <w:r>
        <w:t>年末全市本外币各项存贷款余额分别为</w:t>
      </w:r>
      <w:r>
        <w:t>2317.49</w:t>
      </w:r>
      <w:r>
        <w:t>亿元和</w:t>
      </w:r>
      <w:r>
        <w:t>2210.81</w:t>
      </w:r>
      <w:r>
        <w:t>亿元。企业融资成本持续下行，</w:t>
      </w:r>
      <w:r>
        <w:t>2020</w:t>
      </w:r>
      <w:r>
        <w:t>年末全市贷款加权平均利率为</w:t>
      </w:r>
      <w:r>
        <w:t>5.65%</w:t>
      </w:r>
      <w:r>
        <w:t>，较</w:t>
      </w:r>
      <w:r>
        <w:t>2015</w:t>
      </w:r>
      <w:r>
        <w:t>年末下降</w:t>
      </w:r>
      <w:r>
        <w:t>0.37</w:t>
      </w:r>
      <w:r>
        <w:t>个百分点。重点领域支持有力，</w:t>
      </w:r>
      <w:r>
        <w:t>2020</w:t>
      </w:r>
      <w:r>
        <w:t>年末，全市商贸业、制造业以及水利、环境和公共设施管理业贷款同比分别多增</w:t>
      </w:r>
      <w:r>
        <w:t>24.68</w:t>
      </w:r>
      <w:r>
        <w:t>亿元、</w:t>
      </w:r>
      <w:r>
        <w:lastRenderedPageBreak/>
        <w:t>42.08</w:t>
      </w:r>
      <w:r>
        <w:t>亿元、</w:t>
      </w:r>
      <w:r>
        <w:t>5.08</w:t>
      </w:r>
      <w:r>
        <w:t>亿元。不良贷款降幅显著，全市金融机构</w:t>
      </w:r>
      <w:r>
        <w:rPr>
          <w:rFonts w:ascii="仿宋" w:hAnsi="仿宋" w:cs="仿宋" w:hint="eastAsia"/>
        </w:rPr>
        <w:t>通过“增贷、遏新、化旧”综合施</w:t>
      </w:r>
      <w:r>
        <w:t>策，加大不良贷款处置力度，全市不良贷款率由</w:t>
      </w:r>
      <w:r>
        <w:t>2015</w:t>
      </w:r>
      <w:r>
        <w:t>年末最高峰的</w:t>
      </w:r>
      <w:r>
        <w:t>5.87%</w:t>
      </w:r>
      <w:r>
        <w:t>下降至</w:t>
      </w:r>
      <w:r>
        <w:t>2020</w:t>
      </w:r>
      <w:r>
        <w:t>年末的</w:t>
      </w:r>
      <w:r>
        <w:t>1.11%</w:t>
      </w:r>
      <w:r>
        <w:t>。</w:t>
      </w:r>
    </w:p>
    <w:p w:rsidR="000816CE" w:rsidRDefault="00FC7BEB" w:rsidP="006C0D30">
      <w:pPr>
        <w:ind w:firstLine="640"/>
        <w:rPr>
          <w:rFonts w:ascii="仿宋" w:hAnsi="仿宋" w:cs="仿宋_GB2312"/>
        </w:rPr>
      </w:pPr>
      <w:r>
        <w:rPr>
          <w:rFonts w:hint="eastAsia"/>
          <w:b/>
        </w:rPr>
        <w:t>现代物流业初具规模</w:t>
      </w:r>
      <w:r>
        <w:rPr>
          <w:rFonts w:hint="eastAsia"/>
        </w:rPr>
        <w:t>。全市物流企业被中物联评定为</w:t>
      </w:r>
      <w:r>
        <w:rPr>
          <w:rFonts w:hint="eastAsia"/>
        </w:rPr>
        <w:t>2A</w:t>
      </w:r>
      <w:r>
        <w:rPr>
          <w:rFonts w:hint="eastAsia"/>
        </w:rPr>
        <w:t>级及以上的有</w:t>
      </w:r>
      <w:r>
        <w:rPr>
          <w:rFonts w:hint="eastAsia"/>
        </w:rPr>
        <w:t>18</w:t>
      </w:r>
      <w:r>
        <w:rPr>
          <w:rFonts w:hint="eastAsia"/>
        </w:rPr>
        <w:t>家，其中</w:t>
      </w:r>
      <w:r>
        <w:rPr>
          <w:rFonts w:hint="eastAsia"/>
        </w:rPr>
        <w:t>4A</w:t>
      </w:r>
      <w:r>
        <w:rPr>
          <w:rFonts w:hint="eastAsia"/>
        </w:rPr>
        <w:t>级</w:t>
      </w:r>
      <w:r>
        <w:rPr>
          <w:rFonts w:hint="eastAsia"/>
        </w:rPr>
        <w:t>4</w:t>
      </w:r>
      <w:r>
        <w:rPr>
          <w:rFonts w:hint="eastAsia"/>
        </w:rPr>
        <w:t>家、</w:t>
      </w:r>
      <w:r>
        <w:rPr>
          <w:rFonts w:hint="eastAsia"/>
        </w:rPr>
        <w:t>3A</w:t>
      </w:r>
      <w:r>
        <w:rPr>
          <w:rFonts w:hint="eastAsia"/>
        </w:rPr>
        <w:t>级</w:t>
      </w:r>
      <w:r>
        <w:rPr>
          <w:rFonts w:hint="eastAsia"/>
        </w:rPr>
        <w:t>11</w:t>
      </w:r>
      <w:r>
        <w:rPr>
          <w:rFonts w:hint="eastAsia"/>
        </w:rPr>
        <w:t>家、</w:t>
      </w:r>
      <w:r>
        <w:rPr>
          <w:rFonts w:hint="eastAsia"/>
        </w:rPr>
        <w:t>2A</w:t>
      </w:r>
      <w:r>
        <w:rPr>
          <w:rFonts w:hint="eastAsia"/>
        </w:rPr>
        <w:t>级</w:t>
      </w:r>
      <w:r>
        <w:rPr>
          <w:rFonts w:hint="eastAsia"/>
        </w:rPr>
        <w:t>3</w:t>
      </w:r>
      <w:r>
        <w:rPr>
          <w:rFonts w:hint="eastAsia"/>
        </w:rPr>
        <w:t>家。一家企业（物泊科技）设立无车承运物流平台并取得交通部无车承运人资质</w:t>
      </w:r>
      <w:r>
        <w:rPr>
          <w:rFonts w:hint="eastAsia"/>
        </w:rPr>
        <w:t>和无船承运人资质，获评网络货运平台</w:t>
      </w:r>
      <w:r>
        <w:rPr>
          <w:rFonts w:hint="eastAsia"/>
        </w:rPr>
        <w:t>5A</w:t>
      </w:r>
      <w:r>
        <w:rPr>
          <w:rFonts w:hint="eastAsia"/>
        </w:rPr>
        <w:t>级企业。</w:t>
      </w:r>
      <w:r>
        <w:rPr>
          <w:rFonts w:hint="eastAsia"/>
        </w:rPr>
        <w:t>2020</w:t>
      </w:r>
      <w:r>
        <w:rPr>
          <w:rFonts w:hint="eastAsia"/>
        </w:rPr>
        <w:t>年双赢、罗屿等两家物流园获评省级物流示范园区，实现了我市省级物流示范园区零突破</w:t>
      </w:r>
      <w:r>
        <w:t>。</w:t>
      </w:r>
      <w:r>
        <w:t>2020</w:t>
      </w:r>
      <w:r>
        <w:t>年全市共完成货运量</w:t>
      </w:r>
      <w:r>
        <w:t>5314</w:t>
      </w:r>
      <w:r>
        <w:t>万吨，港口货物吞吐量</w:t>
      </w:r>
      <w:r>
        <w:t>4681</w:t>
      </w:r>
      <w:r>
        <w:t>万吨；其中，跨境快递业务量</w:t>
      </w:r>
      <w:r>
        <w:t>1418.17</w:t>
      </w:r>
      <w:r>
        <w:t>万件，是</w:t>
      </w:r>
      <w:r>
        <w:t>2016</w:t>
      </w:r>
      <w:r>
        <w:t>年的</w:t>
      </w:r>
      <w:r>
        <w:t>2.2</w:t>
      </w:r>
      <w:r>
        <w:t>倍，年均增速均超过</w:t>
      </w:r>
      <w:r>
        <w:t>20%</w:t>
      </w:r>
      <w:r>
        <w:t>。</w:t>
      </w:r>
    </w:p>
    <w:p w:rsidR="000816CE" w:rsidRDefault="00FC7BEB" w:rsidP="006C0D30">
      <w:pPr>
        <w:ind w:firstLine="640"/>
        <w:rPr>
          <w:color w:val="FF0000"/>
        </w:rPr>
      </w:pPr>
      <w:r>
        <w:rPr>
          <w:rFonts w:hint="eastAsia"/>
          <w:b/>
        </w:rPr>
        <w:t>科技信息业加快发展</w:t>
      </w:r>
      <w:r>
        <w:rPr>
          <w:rFonts w:hint="eastAsia"/>
        </w:rPr>
        <w:t>。全市大力提升科技创新平台建设，打造以技术创新为主的专业化科技企业孵化器和众创空间，进行装备更新、工艺革新和产品创新，积极培育高新技术企业。</w:t>
      </w:r>
      <w:r>
        <w:rPr>
          <w:rFonts w:hint="eastAsia"/>
        </w:rPr>
        <w:t>2020</w:t>
      </w:r>
      <w:r>
        <w:rPr>
          <w:rFonts w:hint="eastAsia"/>
        </w:rPr>
        <w:t>年国家级高新技术企业数量达</w:t>
      </w:r>
      <w:r>
        <w:rPr>
          <w:rFonts w:hint="eastAsia"/>
        </w:rPr>
        <w:t>117</w:t>
      </w:r>
      <w:r>
        <w:rPr>
          <w:rFonts w:hint="eastAsia"/>
        </w:rPr>
        <w:t>家，省级高新技术企业累计达</w:t>
      </w:r>
      <w:r>
        <w:rPr>
          <w:rFonts w:hint="eastAsia"/>
        </w:rPr>
        <w:t>100</w:t>
      </w:r>
      <w:r>
        <w:rPr>
          <w:rFonts w:hint="eastAsia"/>
        </w:rPr>
        <w:t>家，省级科技小巨人领军企业入库</w:t>
      </w:r>
      <w:r>
        <w:rPr>
          <w:rFonts w:hint="eastAsia"/>
        </w:rPr>
        <w:t>85</w:t>
      </w:r>
      <w:r>
        <w:rPr>
          <w:rFonts w:hint="eastAsia"/>
        </w:rPr>
        <w:t>家，市级科技型中小企业</w:t>
      </w:r>
      <w:r>
        <w:rPr>
          <w:rFonts w:hint="eastAsia"/>
        </w:rPr>
        <w:lastRenderedPageBreak/>
        <w:t>入库</w:t>
      </w:r>
      <w:r>
        <w:rPr>
          <w:rFonts w:hint="eastAsia"/>
        </w:rPr>
        <w:t xml:space="preserve"> 97</w:t>
      </w:r>
      <w:r>
        <w:rPr>
          <w:rFonts w:hint="eastAsia"/>
        </w:rPr>
        <w:t>家。莆田市</w:t>
      </w:r>
      <w:r>
        <w:rPr>
          <w:rFonts w:ascii="仿宋_GB2312" w:eastAsia="仿宋_GB2312" w:cs="仿宋_GB2312" w:hint="eastAsia"/>
          <w:bCs/>
          <w:snapToGrid w:val="0"/>
          <w:spacing w:val="1"/>
        </w:rPr>
        <w:t>软件企业主体数量增速迅猛，总量仅次于厦门、福州、泉州。</w:t>
      </w:r>
      <w:r>
        <w:rPr>
          <w:rFonts w:eastAsia="仿宋_GB2312"/>
          <w:bCs/>
          <w:snapToGrid w:val="0"/>
          <w:spacing w:val="1"/>
        </w:rPr>
        <w:t>2020</w:t>
      </w:r>
      <w:r>
        <w:rPr>
          <w:rFonts w:eastAsia="仿宋_GB2312"/>
          <w:bCs/>
          <w:snapToGrid w:val="0"/>
          <w:spacing w:val="1"/>
        </w:rPr>
        <w:t>年，莆田市成功获评国家信息消费示范城市</w:t>
      </w:r>
      <w:r>
        <w:rPr>
          <w:rFonts w:eastAsia="仿宋_GB2312" w:hint="eastAsia"/>
          <w:bCs/>
          <w:snapToGrid w:val="0"/>
          <w:spacing w:val="1"/>
        </w:rPr>
        <w:t>，</w:t>
      </w:r>
      <w:r>
        <w:rPr>
          <w:rFonts w:eastAsia="仿宋_GB2312"/>
          <w:bCs/>
          <w:snapToGrid w:val="0"/>
          <w:spacing w:val="1"/>
        </w:rPr>
        <w:t>规上信息传输、软件和信息技术服务业营业收入</w:t>
      </w:r>
      <w:r>
        <w:rPr>
          <w:rFonts w:eastAsia="仿宋_GB2312"/>
          <w:bCs/>
          <w:snapToGrid w:val="0"/>
          <w:spacing w:val="1"/>
        </w:rPr>
        <w:t>45.</w:t>
      </w:r>
      <w:r>
        <w:rPr>
          <w:rFonts w:eastAsia="仿宋_GB2312" w:hint="eastAsia"/>
          <w:bCs/>
          <w:snapToGrid w:val="0"/>
          <w:spacing w:val="1"/>
        </w:rPr>
        <w:t>63</w:t>
      </w:r>
      <w:r>
        <w:rPr>
          <w:rFonts w:eastAsia="仿宋_GB2312"/>
          <w:bCs/>
          <w:snapToGrid w:val="0"/>
          <w:spacing w:val="1"/>
        </w:rPr>
        <w:t>亿元，</w:t>
      </w:r>
      <w:r>
        <w:rPr>
          <w:rFonts w:ascii="仿宋" w:hAnsi="仿宋" w:cs="仿宋" w:hint="eastAsia"/>
          <w:bCs/>
          <w:snapToGrid w:val="0"/>
          <w:spacing w:val="1"/>
        </w:rPr>
        <w:t>“十三五”</w:t>
      </w:r>
      <w:r>
        <w:rPr>
          <w:rFonts w:eastAsia="仿宋_GB2312"/>
          <w:bCs/>
          <w:snapToGrid w:val="0"/>
          <w:spacing w:val="1"/>
        </w:rPr>
        <w:t>时期年均增长</w:t>
      </w:r>
      <w:r>
        <w:rPr>
          <w:rFonts w:eastAsia="仿宋_GB2312" w:hint="eastAsia"/>
          <w:bCs/>
          <w:snapToGrid w:val="0"/>
          <w:spacing w:val="1"/>
        </w:rPr>
        <w:t>达</w:t>
      </w:r>
      <w:r>
        <w:rPr>
          <w:rFonts w:eastAsia="仿宋_GB2312"/>
          <w:bCs/>
          <w:snapToGrid w:val="0"/>
          <w:spacing w:val="1"/>
        </w:rPr>
        <w:t>12.8%</w:t>
      </w:r>
      <w:r>
        <w:rPr>
          <w:rFonts w:eastAsia="仿宋_GB2312"/>
          <w:bCs/>
          <w:snapToGrid w:val="0"/>
          <w:spacing w:val="1"/>
        </w:rPr>
        <w:t>。</w:t>
      </w:r>
    </w:p>
    <w:p w:rsidR="000816CE" w:rsidRDefault="00FC7BEB" w:rsidP="006C0D30">
      <w:pPr>
        <w:pStyle w:val="3"/>
        <w:spacing w:before="156" w:after="156"/>
        <w:ind w:firstLine="640"/>
        <w:rPr>
          <w:rFonts w:hint="default"/>
        </w:rPr>
      </w:pPr>
      <w:r>
        <w:t>3.</w:t>
      </w:r>
      <w:r>
        <w:t>生活性服务业稳步复苏</w:t>
      </w:r>
    </w:p>
    <w:p w:rsidR="000816CE" w:rsidRDefault="00FC7BEB" w:rsidP="006C0D30">
      <w:pPr>
        <w:ind w:firstLine="640"/>
      </w:pPr>
      <w:r>
        <w:rPr>
          <w:rFonts w:hint="eastAsia"/>
          <w:b/>
        </w:rPr>
        <w:t>商贸流通业稳步发展</w:t>
      </w:r>
      <w:r>
        <w:rPr>
          <w:rFonts w:hint="eastAsia"/>
          <w:b/>
          <w:bCs/>
        </w:rPr>
        <w:t>。</w:t>
      </w:r>
      <w:r>
        <w:rPr>
          <w:rFonts w:eastAsia="仿宋_GB2312"/>
        </w:rPr>
        <w:t>市场主体品牌建设不断提升，目前莆田市共有</w:t>
      </w:r>
      <w:r>
        <w:rPr>
          <w:rFonts w:eastAsia="仿宋_GB2312"/>
        </w:rPr>
        <w:t>2</w:t>
      </w:r>
      <w:r>
        <w:rPr>
          <w:rFonts w:eastAsia="仿宋_GB2312"/>
        </w:rPr>
        <w:t>家中华老字号，</w:t>
      </w:r>
      <w:r>
        <w:rPr>
          <w:rFonts w:eastAsia="仿宋_GB2312"/>
        </w:rPr>
        <w:t>2</w:t>
      </w:r>
      <w:r>
        <w:rPr>
          <w:rFonts w:eastAsia="仿宋_GB2312"/>
        </w:rPr>
        <w:t>家福建老字号，</w:t>
      </w:r>
      <w:r>
        <w:rPr>
          <w:rFonts w:eastAsia="仿宋_GB2312"/>
        </w:rPr>
        <w:t>8</w:t>
      </w:r>
      <w:r>
        <w:rPr>
          <w:rFonts w:eastAsia="仿宋_GB2312"/>
        </w:rPr>
        <w:t>家莆田老字号；绿色商场创建不断推进，共有</w:t>
      </w:r>
      <w:r>
        <w:rPr>
          <w:rFonts w:eastAsia="仿宋_GB2312"/>
        </w:rPr>
        <w:t>4</w:t>
      </w:r>
      <w:r>
        <w:rPr>
          <w:rFonts w:eastAsia="仿宋_GB2312"/>
        </w:rPr>
        <w:t>家企业</w:t>
      </w:r>
      <w:r>
        <w:rPr>
          <w:rFonts w:ascii="仿宋_GB2312" w:eastAsia="仿宋_GB2312" w:hAnsi="仿宋_GB2312" w:cs="仿宋_GB2312" w:hint="eastAsia"/>
        </w:rPr>
        <w:t>获得省级绿色商场单位称号。</w:t>
      </w:r>
      <w:r>
        <w:rPr>
          <w:rFonts w:eastAsia="仿宋_GB2312"/>
        </w:rPr>
        <w:t>2020</w:t>
      </w:r>
      <w:r>
        <w:rPr>
          <w:rFonts w:ascii="仿宋_GB2312" w:eastAsia="仿宋_GB2312" w:hAnsi="仿宋_GB2312" w:cs="仿宋_GB2312" w:hint="eastAsia"/>
        </w:rPr>
        <w:t>年，</w:t>
      </w:r>
      <w:r>
        <w:rPr>
          <w:rFonts w:eastAsia="仿宋_GB2312"/>
          <w:bCs/>
          <w:snapToGrid w:val="0"/>
          <w:spacing w:val="1"/>
        </w:rPr>
        <w:t>全市批发和零售业增加值</w:t>
      </w:r>
      <w:r>
        <w:rPr>
          <w:rFonts w:eastAsia="仿宋_GB2312"/>
          <w:bCs/>
          <w:snapToGrid w:val="0"/>
          <w:spacing w:val="1"/>
        </w:rPr>
        <w:t>342.58</w:t>
      </w:r>
      <w:r>
        <w:rPr>
          <w:rFonts w:eastAsia="仿宋_GB2312"/>
          <w:bCs/>
          <w:snapToGrid w:val="0"/>
          <w:spacing w:val="1"/>
        </w:rPr>
        <w:t>亿元，</w:t>
      </w:r>
      <w:r>
        <w:rPr>
          <w:rFonts w:eastAsia="仿宋_GB2312"/>
          <w:bCs/>
          <w:snapToGrid w:val="0"/>
          <w:spacing w:val="1"/>
        </w:rPr>
        <w:t xml:space="preserve"> 2016-2020</w:t>
      </w:r>
      <w:r>
        <w:rPr>
          <w:rFonts w:eastAsia="仿宋_GB2312"/>
          <w:bCs/>
          <w:snapToGrid w:val="0"/>
          <w:spacing w:val="1"/>
        </w:rPr>
        <w:t>年年均增长</w:t>
      </w:r>
      <w:r>
        <w:rPr>
          <w:rFonts w:eastAsia="仿宋_GB2312"/>
          <w:bCs/>
          <w:snapToGrid w:val="0"/>
          <w:spacing w:val="1"/>
        </w:rPr>
        <w:t>6.8%</w:t>
      </w:r>
      <w:r>
        <w:rPr>
          <w:rFonts w:eastAsia="仿宋_GB2312"/>
          <w:bCs/>
          <w:snapToGrid w:val="0"/>
          <w:spacing w:val="1"/>
        </w:rPr>
        <w:t>。全市实现社会消费品零售总额</w:t>
      </w:r>
      <w:r>
        <w:rPr>
          <w:rFonts w:eastAsia="仿宋_GB2312"/>
          <w:bCs/>
          <w:snapToGrid w:val="0"/>
          <w:spacing w:val="1"/>
        </w:rPr>
        <w:t>1612.26</w:t>
      </w:r>
      <w:r>
        <w:rPr>
          <w:rFonts w:eastAsia="仿宋_GB2312"/>
          <w:bCs/>
          <w:snapToGrid w:val="0"/>
          <w:spacing w:val="1"/>
        </w:rPr>
        <w:t>亿元，比</w:t>
      </w:r>
      <w:r>
        <w:rPr>
          <w:rFonts w:eastAsia="仿宋_GB2312"/>
          <w:bCs/>
          <w:snapToGrid w:val="0"/>
          <w:spacing w:val="1"/>
        </w:rPr>
        <w:t>2015</w:t>
      </w:r>
      <w:r>
        <w:rPr>
          <w:rFonts w:eastAsia="仿宋_GB2312"/>
          <w:bCs/>
          <w:snapToGrid w:val="0"/>
          <w:spacing w:val="1"/>
        </w:rPr>
        <w:t>年增长</w:t>
      </w:r>
      <w:r>
        <w:rPr>
          <w:rFonts w:eastAsia="仿宋_GB2312"/>
          <w:bCs/>
          <w:snapToGrid w:val="0"/>
          <w:spacing w:val="1"/>
        </w:rPr>
        <w:t>59.8%</w:t>
      </w:r>
      <w:r>
        <w:rPr>
          <w:rFonts w:eastAsia="仿宋_GB2312"/>
          <w:bCs/>
          <w:snapToGrid w:val="0"/>
          <w:spacing w:val="1"/>
        </w:rPr>
        <w:t>，年均增长</w:t>
      </w:r>
      <w:r>
        <w:rPr>
          <w:rFonts w:eastAsia="仿宋_GB2312"/>
          <w:bCs/>
          <w:snapToGrid w:val="0"/>
          <w:spacing w:val="1"/>
        </w:rPr>
        <w:t>9.8%</w:t>
      </w:r>
      <w:r>
        <w:rPr>
          <w:rFonts w:eastAsia="仿宋_GB2312" w:hint="eastAsia"/>
          <w:bCs/>
          <w:snapToGrid w:val="0"/>
          <w:spacing w:val="1"/>
        </w:rPr>
        <w:t>，</w:t>
      </w:r>
      <w:r>
        <w:rPr>
          <w:rFonts w:eastAsia="仿宋_GB2312"/>
          <w:bCs/>
          <w:snapToGrid w:val="0"/>
          <w:spacing w:val="1"/>
        </w:rPr>
        <w:t>比同期全省平均水平高</w:t>
      </w:r>
      <w:r>
        <w:rPr>
          <w:rFonts w:eastAsia="仿宋_GB2312"/>
          <w:bCs/>
          <w:snapToGrid w:val="0"/>
          <w:spacing w:val="1"/>
        </w:rPr>
        <w:t>1.1</w:t>
      </w:r>
      <w:r>
        <w:rPr>
          <w:rFonts w:eastAsia="仿宋_GB2312"/>
          <w:bCs/>
          <w:snapToGrid w:val="0"/>
          <w:spacing w:val="1"/>
        </w:rPr>
        <w:t>个百分点。</w:t>
      </w:r>
    </w:p>
    <w:p w:rsidR="000816CE" w:rsidRDefault="00FC7BEB" w:rsidP="006C0D30">
      <w:pPr>
        <w:ind w:firstLine="640"/>
        <w:rPr>
          <w:rFonts w:ascii="仿宋" w:hAnsi="仿宋" w:cs="仿宋"/>
        </w:rPr>
      </w:pPr>
      <w:r>
        <w:rPr>
          <w:rFonts w:hint="eastAsia"/>
          <w:b/>
        </w:rPr>
        <w:t>文化旅游业加快复苏</w:t>
      </w:r>
      <w:r>
        <w:rPr>
          <w:rFonts w:hint="eastAsia"/>
          <w:b/>
          <w:bCs/>
        </w:rPr>
        <w:t>。</w:t>
      </w:r>
      <w:r>
        <w:rPr>
          <w:rFonts w:ascii="仿宋" w:hAnsi="仿宋" w:cs="仿宋" w:hint="eastAsia"/>
        </w:rPr>
        <w:t>品牌形象日益凸显，湄洲岛被列入“全国最美海岛”和“福建十大美丽海岛”名录。黄金沙滩、鹅尾沙滩双双列入全</w:t>
      </w:r>
      <w:r>
        <w:rPr>
          <w:rFonts w:ascii="仿宋" w:hAnsi="仿宋" w:cs="仿宋" w:hint="eastAsia"/>
        </w:rPr>
        <w:t>省首批海岸公园。</w:t>
      </w:r>
      <w:r>
        <w:rPr>
          <w:rFonts w:ascii="仿宋" w:hAnsi="仿宋" w:cs="仿宋" w:hint="eastAsia"/>
        </w:rPr>
        <w:t>2018</w:t>
      </w:r>
      <w:r>
        <w:rPr>
          <w:rFonts w:ascii="仿宋" w:hAnsi="仿宋" w:cs="仿宋" w:hint="eastAsia"/>
        </w:rPr>
        <w:t>年，被文旅部授予“港澳青少年游客基地”称号；</w:t>
      </w:r>
      <w:r>
        <w:rPr>
          <w:rFonts w:ascii="仿宋" w:hAnsi="仿宋" w:cs="仿宋" w:hint="eastAsia"/>
        </w:rPr>
        <w:t>2020</w:t>
      </w:r>
      <w:r>
        <w:rPr>
          <w:rFonts w:ascii="仿宋" w:hAnsi="仿宋" w:cs="仿宋" w:hint="eastAsia"/>
        </w:rPr>
        <w:t>年，被福建省气象学会、福建省旅游协会授予“滨海休闲度假福地”称号。</w:t>
      </w:r>
      <w:r>
        <w:rPr>
          <w:rFonts w:hint="eastAsia"/>
        </w:rPr>
        <w:t>“</w:t>
      </w:r>
      <w:r>
        <w:rPr>
          <w:rFonts w:ascii="仿宋" w:hAnsi="仿宋" w:cs="仿宋" w:hint="eastAsia"/>
        </w:rPr>
        <w:t>十三五”期间，经济指标稳中有升。全区接待境内外游客年均增</w:t>
      </w:r>
      <w:r>
        <w:t>长</w:t>
      </w:r>
      <w:r>
        <w:t>10.1%</w:t>
      </w:r>
      <w:r>
        <w:t>，年均增量约</w:t>
      </w:r>
      <w:r>
        <w:t>50</w:t>
      </w:r>
      <w:r>
        <w:t>万人次；全</w:t>
      </w:r>
      <w:r>
        <w:lastRenderedPageBreak/>
        <w:t>社会旅游收入年均增长</w:t>
      </w:r>
      <w:r>
        <w:t>8.7%</w:t>
      </w:r>
      <w:r>
        <w:t>，五年增量</w:t>
      </w:r>
      <w:r>
        <w:t>13</w:t>
      </w:r>
      <w:r>
        <w:t>亿元。</w:t>
      </w:r>
    </w:p>
    <w:p w:rsidR="000816CE" w:rsidRDefault="00FC7BEB" w:rsidP="006C0D30">
      <w:pPr>
        <w:widowControl/>
        <w:adjustRightInd/>
        <w:snapToGrid/>
        <w:ind w:firstLine="640"/>
      </w:pPr>
      <w:r>
        <w:rPr>
          <w:rFonts w:hint="eastAsia"/>
          <w:b/>
        </w:rPr>
        <w:t>健康养老初步发展</w:t>
      </w:r>
      <w:r>
        <w:rPr>
          <w:rFonts w:hint="eastAsia"/>
          <w:b/>
          <w:bCs/>
        </w:rPr>
        <w:t>。</w:t>
      </w:r>
      <w:r>
        <w:t>全市医疗卫生资源快速增长，</w:t>
      </w:r>
      <w:r>
        <w:t>2020</w:t>
      </w:r>
      <w:r>
        <w:t>年末全市共有各级各类医疗卫生机构</w:t>
      </w:r>
      <w:r>
        <w:t>1401</w:t>
      </w:r>
      <w:r>
        <w:t>个，全市医疗机构床位</w:t>
      </w:r>
      <w:r>
        <w:t>17694</w:t>
      </w:r>
      <w:r>
        <w:t>张，卫生技术人员</w:t>
      </w:r>
      <w:r>
        <w:t>17527</w:t>
      </w:r>
      <w:r>
        <w:t>人，千人均医疗床位数达到</w:t>
      </w:r>
      <w:r>
        <w:t>6.07</w:t>
      </w:r>
      <w:r>
        <w:t>张，千人均卫技人员数达到</w:t>
      </w:r>
      <w:r>
        <w:t>6.02</w:t>
      </w:r>
      <w:r>
        <w:t>人。</w:t>
      </w:r>
      <w:r>
        <w:rPr>
          <w:bCs/>
        </w:rPr>
        <w:t>养老机构</w:t>
      </w:r>
      <w:r>
        <w:rPr>
          <w:bCs/>
        </w:rPr>
        <w:t>持续发展，</w:t>
      </w:r>
      <w:r>
        <w:t>运营的民办养老机构（含公建民营）数量从</w:t>
      </w:r>
      <w:r>
        <w:t>2015</w:t>
      </w:r>
      <w:r>
        <w:t>年的</w:t>
      </w:r>
      <w:r>
        <w:t>5</w:t>
      </w:r>
      <w:r>
        <w:t>家逐年增加至</w:t>
      </w:r>
      <w:r>
        <w:t>40</w:t>
      </w:r>
      <w:r>
        <w:t>家，每千名老人拥有养老床位数从</w:t>
      </w:r>
      <w:r>
        <w:t>2015</w:t>
      </w:r>
      <w:r>
        <w:t>年</w:t>
      </w:r>
      <w:r>
        <w:t>30.4</w:t>
      </w:r>
      <w:r>
        <w:t>张提高至</w:t>
      </w:r>
      <w:r>
        <w:t>2020</w:t>
      </w:r>
      <w:r>
        <w:t>年</w:t>
      </w:r>
      <w:r>
        <w:t>35.7</w:t>
      </w:r>
      <w:r>
        <w:t>张。人民群众健康水平进一步提高，</w:t>
      </w:r>
      <w:r>
        <w:t>2020</w:t>
      </w:r>
      <w:r>
        <w:t>年全市人均预期寿命为</w:t>
      </w:r>
      <w:r>
        <w:t>80.5</w:t>
      </w:r>
      <w:r>
        <w:t>岁，未发生重大传染病流行和重大突发公共卫生事件。</w:t>
      </w:r>
    </w:p>
    <w:p w:rsidR="000816CE" w:rsidRDefault="00FC7BEB" w:rsidP="006C0D30">
      <w:pPr>
        <w:widowControl/>
        <w:ind w:firstLine="640"/>
        <w:rPr>
          <w:rFonts w:ascii="仿宋_GB2312" w:eastAsia="仿宋_GB2312"/>
        </w:rPr>
      </w:pPr>
      <w:r>
        <w:rPr>
          <w:rFonts w:hint="eastAsia"/>
          <w:b/>
        </w:rPr>
        <w:t>房地产业有序发展</w:t>
      </w:r>
      <w:r>
        <w:rPr>
          <w:rFonts w:hint="eastAsia"/>
          <w:b/>
          <w:bCs/>
        </w:rPr>
        <w:t>。</w:t>
      </w:r>
      <w:r>
        <w:rPr>
          <w:rFonts w:ascii="仿宋_GB2312" w:eastAsia="仿宋_GB2312" w:hAnsi="仿宋_GB2312" w:cs="仿宋_GB2312" w:hint="eastAsia"/>
        </w:rPr>
        <w:t>“十三五”期间，莆田市房地产</w:t>
      </w:r>
      <w:r>
        <w:rPr>
          <w:rFonts w:ascii="仿宋_GB2312" w:eastAsia="仿宋_GB2312" w:hint="eastAsia"/>
          <w:bCs/>
        </w:rPr>
        <w:t>规模品质提升，</w:t>
      </w:r>
      <w:r>
        <w:rPr>
          <w:rFonts w:ascii="仿宋_GB2312" w:eastAsia="仿宋_GB2312" w:hint="eastAsia"/>
        </w:rPr>
        <w:t>全市</w:t>
      </w:r>
      <w:r>
        <w:rPr>
          <w:rFonts w:ascii="仿宋_GB2312" w:eastAsia="仿宋_GB2312" w:hAnsi="仿宋_GB2312" w:hint="eastAsia"/>
        </w:rPr>
        <w:t>房地产业蓬勃发展，</w:t>
      </w:r>
      <w:r>
        <w:rPr>
          <w:rFonts w:ascii="仿宋_GB2312" w:eastAsia="仿宋_GB2312" w:hint="eastAsia"/>
          <w:kern w:val="0"/>
        </w:rPr>
        <w:t>全市住房供应品质从“居者有其屋”转向“居者优其屋”。</w:t>
      </w:r>
      <w:r>
        <w:rPr>
          <w:rFonts w:ascii="仿宋_GB2312" w:eastAsia="仿宋_GB2312" w:hint="eastAsia"/>
          <w:bCs/>
        </w:rPr>
        <w:t>商品住房价位趋于平稳，</w:t>
      </w:r>
      <w:r>
        <w:rPr>
          <w:rFonts w:ascii="仿宋_GB2312" w:eastAsia="仿宋_GB2312" w:hint="eastAsia"/>
        </w:rPr>
        <w:t>房地产调控成效明显。总体上，“十三五”结转的存量商品房供需基本平衡、结构基本合理。</w:t>
      </w:r>
      <w:r>
        <w:rPr>
          <w:rFonts w:eastAsia="仿宋_GB2312"/>
        </w:rPr>
        <w:t>2020</w:t>
      </w:r>
      <w:r>
        <w:rPr>
          <w:rFonts w:eastAsia="仿宋_GB2312"/>
        </w:rPr>
        <w:t>年，</w:t>
      </w:r>
      <w:r>
        <w:rPr>
          <w:rFonts w:eastAsia="仿宋_GB2312"/>
          <w:kern w:val="0"/>
        </w:rPr>
        <w:t>房地产投资及商品房销售面积分别完成</w:t>
      </w:r>
      <w:r>
        <w:rPr>
          <w:rFonts w:eastAsia="仿宋_GB2312"/>
          <w:kern w:val="0"/>
        </w:rPr>
        <w:t>1912.54</w:t>
      </w:r>
      <w:r>
        <w:rPr>
          <w:rFonts w:eastAsia="仿宋_GB2312"/>
          <w:kern w:val="0"/>
        </w:rPr>
        <w:t>亿元和</w:t>
      </w:r>
      <w:r>
        <w:rPr>
          <w:rFonts w:eastAsia="仿宋_GB2312" w:hint="eastAsia"/>
          <w:kern w:val="0"/>
        </w:rPr>
        <w:t>426</w:t>
      </w:r>
      <w:r>
        <w:rPr>
          <w:rFonts w:eastAsia="仿宋_GB2312"/>
          <w:kern w:val="0"/>
        </w:rPr>
        <w:t>.3</w:t>
      </w:r>
      <w:r>
        <w:rPr>
          <w:rFonts w:eastAsia="仿宋_GB2312" w:hint="eastAsia"/>
          <w:kern w:val="0"/>
        </w:rPr>
        <w:t>7</w:t>
      </w:r>
      <w:r>
        <w:rPr>
          <w:rFonts w:eastAsia="仿宋_GB2312"/>
          <w:kern w:val="0"/>
        </w:rPr>
        <w:t>万</w:t>
      </w:r>
      <w:r>
        <w:rPr>
          <w:kern w:val="0"/>
        </w:rPr>
        <w:t>㎡</w:t>
      </w:r>
      <w:r>
        <w:rPr>
          <w:rFonts w:eastAsia="仿宋_GB2312"/>
          <w:kern w:val="0"/>
        </w:rPr>
        <w:t>，</w:t>
      </w:r>
      <w:r>
        <w:rPr>
          <w:rFonts w:ascii="仿宋_GB2312" w:eastAsia="仿宋_GB2312" w:hint="eastAsia"/>
          <w:kern w:val="0"/>
        </w:rPr>
        <w:t>完成“十三五”计划目标。</w:t>
      </w:r>
    </w:p>
    <w:p w:rsidR="000816CE" w:rsidRDefault="00FC7BEB" w:rsidP="006C0D30">
      <w:pPr>
        <w:pStyle w:val="3"/>
        <w:spacing w:before="156" w:after="156"/>
        <w:ind w:firstLine="640"/>
        <w:rPr>
          <w:rFonts w:hint="default"/>
        </w:rPr>
      </w:pPr>
      <w:r>
        <w:t>4.</w:t>
      </w:r>
      <w:r>
        <w:t>新兴服务业多样化发展</w:t>
      </w:r>
    </w:p>
    <w:p w:rsidR="000816CE" w:rsidRDefault="00FC7BEB">
      <w:pPr>
        <w:ind w:firstLine="640"/>
        <w:rPr>
          <w:rFonts w:ascii="仿宋_GB2312" w:eastAsia="仿宋_GB2312" w:hAnsi="黑体" w:cs="黑体"/>
        </w:rPr>
      </w:pPr>
      <w:r>
        <w:rPr>
          <w:rFonts w:ascii="仿宋" w:hAnsi="仿宋" w:cs="仿宋"/>
        </w:rPr>
        <w:t>“</w:t>
      </w:r>
      <w:r>
        <w:rPr>
          <w:rFonts w:ascii="仿宋" w:hAnsi="仿宋" w:cs="仿宋" w:hint="eastAsia"/>
        </w:rPr>
        <w:t>十三五</w:t>
      </w:r>
      <w:r>
        <w:rPr>
          <w:rFonts w:ascii="仿宋" w:hAnsi="仿宋" w:cs="仿宋"/>
        </w:rPr>
        <w:t>”</w:t>
      </w:r>
      <w:r>
        <w:rPr>
          <w:rFonts w:ascii="仿宋" w:hAnsi="仿宋" w:cs="仿宋" w:hint="eastAsia"/>
        </w:rPr>
        <w:t>期间，莆田市</w:t>
      </w:r>
      <w:r>
        <w:rPr>
          <w:rFonts w:ascii="仿宋" w:hAnsi="仿宋" w:cs="仿宋_GB2312" w:hint="eastAsia"/>
          <w:color w:val="000000"/>
        </w:rPr>
        <w:t>积极发展总部经济、楼宇经济，</w:t>
      </w:r>
      <w:r>
        <w:rPr>
          <w:rFonts w:ascii="仿宋" w:hAnsi="仿宋" w:hint="eastAsia"/>
        </w:rPr>
        <w:t>引导服务业企业向楼宇集聚，楼宇经济集聚效应初步形成，各县区积</w:t>
      </w:r>
      <w:r>
        <w:rPr>
          <w:rFonts w:ascii="仿宋" w:hAnsi="仿宋" w:hint="eastAsia"/>
        </w:rPr>
        <w:lastRenderedPageBreak/>
        <w:t>极促进总部办公群集聚发展。</w:t>
      </w:r>
      <w:r>
        <w:t>2020</w:t>
      </w:r>
      <w:r>
        <w:t>年，全市重点跟踪的</w:t>
      </w:r>
      <w:r>
        <w:t>17</w:t>
      </w:r>
      <w:r>
        <w:t>个贸易总部实现销售额</w:t>
      </w:r>
      <w:r>
        <w:t>609.37</w:t>
      </w:r>
      <w:r>
        <w:t>亿元，增长</w:t>
      </w:r>
      <w:r>
        <w:t>208.8%</w:t>
      </w:r>
      <w:r>
        <w:t>，拉动全市限上批发业商品销售额增长（</w:t>
      </w:r>
      <w:r>
        <w:t>32.1%</w:t>
      </w:r>
      <w:r>
        <w:t>）</w:t>
      </w:r>
      <w:r>
        <w:t>27.6</w:t>
      </w:r>
      <w:r>
        <w:t>个百分点。此外，全市大力提升科技创新平台建设，</w:t>
      </w:r>
      <w:r>
        <w:rPr>
          <w:rFonts w:eastAsia="仿宋_GB2312"/>
          <w:kern w:val="0"/>
        </w:rPr>
        <w:t>平台经济助推规模以上服务业企业快速发展。</w:t>
      </w:r>
      <w:r>
        <w:rPr>
          <w:rFonts w:eastAsia="仿宋_GB2312"/>
          <w:kern w:val="0"/>
        </w:rPr>
        <w:t>2020</w:t>
      </w:r>
      <w:r>
        <w:rPr>
          <w:rFonts w:eastAsia="仿宋_GB2312"/>
          <w:kern w:val="0"/>
        </w:rPr>
        <w:t>年全市</w:t>
      </w:r>
      <w:r>
        <w:rPr>
          <w:rFonts w:eastAsia="仿宋_GB2312"/>
          <w:kern w:val="0"/>
        </w:rPr>
        <w:t>规模以上服务业实现营业收入</w:t>
      </w:r>
      <w:r>
        <w:rPr>
          <w:rFonts w:eastAsia="仿宋_GB2312"/>
          <w:kern w:val="0"/>
        </w:rPr>
        <w:t>283.09</w:t>
      </w:r>
      <w:r>
        <w:rPr>
          <w:rFonts w:eastAsia="仿宋_GB2312"/>
          <w:kern w:val="0"/>
        </w:rPr>
        <w:t>亿元，比上年增长</w:t>
      </w:r>
      <w:r>
        <w:rPr>
          <w:rFonts w:eastAsia="仿宋_GB2312"/>
          <w:kern w:val="0"/>
        </w:rPr>
        <w:t>52%</w:t>
      </w:r>
      <w:r>
        <w:rPr>
          <w:rFonts w:eastAsia="仿宋_GB2312"/>
          <w:kern w:val="0"/>
        </w:rPr>
        <w:t>，增幅居全省第</w:t>
      </w:r>
      <w:r>
        <w:rPr>
          <w:rFonts w:eastAsia="仿宋_GB2312"/>
          <w:kern w:val="0"/>
        </w:rPr>
        <w:t>1</w:t>
      </w:r>
      <w:r>
        <w:rPr>
          <w:rFonts w:eastAsia="仿宋_GB2312"/>
          <w:kern w:val="0"/>
        </w:rPr>
        <w:t>位。培育壮大仙游京东，荔城众协联、豆讯科技，城厢云智薪、骠骑平台、瑞智无忧项目，涵江家联宝、点钢科技，秀屿药械网、平行威客，北岸物泊物流等重点平台，</w:t>
      </w:r>
      <w:r>
        <w:rPr>
          <w:rFonts w:eastAsia="仿宋_GB2312" w:hint="eastAsia"/>
          <w:kern w:val="0"/>
        </w:rPr>
        <w:t>并</w:t>
      </w:r>
      <w:r>
        <w:rPr>
          <w:rFonts w:eastAsia="仿宋_GB2312"/>
          <w:kern w:val="0"/>
        </w:rPr>
        <w:t>对各平台进行分析、分类，推动各平台实现工贸分离、服贸分离、服内分离，从中挖掘</w:t>
      </w:r>
      <w:r>
        <w:rPr>
          <w:rFonts w:eastAsia="仿宋_GB2312" w:hint="eastAsia"/>
          <w:kern w:val="0"/>
        </w:rPr>
        <w:t>、</w:t>
      </w:r>
      <w:r>
        <w:rPr>
          <w:rFonts w:eastAsia="仿宋_GB2312"/>
          <w:kern w:val="0"/>
        </w:rPr>
        <w:t>培育新增长点。</w:t>
      </w:r>
      <w:r>
        <w:rPr>
          <w:rFonts w:eastAsia="仿宋_GB2312"/>
        </w:rPr>
        <w:t>2020</w:t>
      </w:r>
      <w:r>
        <w:rPr>
          <w:rFonts w:eastAsia="仿宋_GB2312"/>
        </w:rPr>
        <w:t>年，全市纳入统计的</w:t>
      </w:r>
      <w:r>
        <w:rPr>
          <w:rFonts w:eastAsia="仿宋_GB2312"/>
        </w:rPr>
        <w:t>15</w:t>
      </w:r>
      <w:r>
        <w:rPr>
          <w:rFonts w:eastAsia="仿宋_GB2312"/>
        </w:rPr>
        <w:t>家平台企业实现营业收入</w:t>
      </w:r>
      <w:r>
        <w:rPr>
          <w:rFonts w:eastAsia="仿宋_GB2312"/>
        </w:rPr>
        <w:t>166.1</w:t>
      </w:r>
      <w:r>
        <w:rPr>
          <w:rFonts w:eastAsia="仿宋_GB2312"/>
        </w:rPr>
        <w:t>亿元，增长</w:t>
      </w:r>
      <w:r>
        <w:rPr>
          <w:rFonts w:eastAsia="仿宋_GB2312"/>
        </w:rPr>
        <w:t>158%</w:t>
      </w:r>
      <w:r>
        <w:rPr>
          <w:rFonts w:eastAsia="仿宋_GB2312"/>
        </w:rPr>
        <w:t>。</w:t>
      </w:r>
    </w:p>
    <w:p w:rsidR="000816CE" w:rsidRDefault="00FC7BEB">
      <w:pPr>
        <w:ind w:firstLine="562"/>
        <w:jc w:val="center"/>
        <w:rPr>
          <w:rFonts w:eastAsia="仿宋_GB2312"/>
          <w:b/>
          <w:sz w:val="28"/>
          <w:szCs w:val="28"/>
        </w:rPr>
      </w:pPr>
      <w:r>
        <w:rPr>
          <w:rFonts w:eastAsia="仿宋_GB2312" w:hint="eastAsia"/>
          <w:b/>
          <w:sz w:val="28"/>
          <w:szCs w:val="28"/>
        </w:rPr>
        <w:t>2020</w:t>
      </w:r>
      <w:r>
        <w:rPr>
          <w:rFonts w:eastAsia="仿宋_GB2312" w:hint="eastAsia"/>
          <w:b/>
          <w:sz w:val="28"/>
          <w:szCs w:val="28"/>
        </w:rPr>
        <w:t>年莆田市各县（区、管委会）服务业情况表（亿元）</w:t>
      </w:r>
    </w:p>
    <w:tbl>
      <w:tblPr>
        <w:tblW w:w="8968" w:type="dxa"/>
        <w:tblInd w:w="93" w:type="dxa"/>
        <w:tblLayout w:type="fixed"/>
        <w:tblLook w:val="04A0"/>
      </w:tblPr>
      <w:tblGrid>
        <w:gridCol w:w="953"/>
        <w:gridCol w:w="1304"/>
        <w:gridCol w:w="1272"/>
        <w:gridCol w:w="1570"/>
        <w:gridCol w:w="1581"/>
        <w:gridCol w:w="1083"/>
        <w:gridCol w:w="1205"/>
      </w:tblGrid>
      <w:tr w:rsidR="000816CE">
        <w:trPr>
          <w:trHeight w:val="712"/>
        </w:trPr>
        <w:tc>
          <w:tcPr>
            <w:tcW w:w="953" w:type="dxa"/>
            <w:tcBorders>
              <w:top w:val="single" w:sz="4" w:space="0" w:color="auto"/>
              <w:left w:val="single" w:sz="4" w:space="0" w:color="auto"/>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color w:val="000000"/>
                <w:kern w:val="0"/>
                <w:sz w:val="24"/>
                <w:szCs w:val="24"/>
              </w:rPr>
            </w:pPr>
            <w:r>
              <w:rPr>
                <w:rFonts w:ascii="仿宋" w:hAnsi="仿宋" w:cs="宋体" w:hint="eastAsia"/>
                <w:b/>
                <w:color w:val="000000"/>
                <w:kern w:val="0"/>
                <w:sz w:val="24"/>
                <w:szCs w:val="24"/>
              </w:rPr>
              <w:t>区县</w:t>
            </w:r>
          </w:p>
        </w:tc>
        <w:tc>
          <w:tcPr>
            <w:tcW w:w="1304" w:type="dxa"/>
            <w:tcBorders>
              <w:top w:val="single" w:sz="4" w:space="0" w:color="auto"/>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color w:val="000000"/>
                <w:kern w:val="0"/>
                <w:sz w:val="24"/>
                <w:szCs w:val="24"/>
              </w:rPr>
            </w:pPr>
            <w:r>
              <w:rPr>
                <w:rFonts w:ascii="仿宋" w:hAnsi="仿宋" w:cs="宋体" w:hint="eastAsia"/>
                <w:b/>
                <w:color w:val="000000"/>
                <w:kern w:val="0"/>
                <w:sz w:val="24"/>
                <w:szCs w:val="24"/>
              </w:rPr>
              <w:t>GDP</w:t>
            </w:r>
          </w:p>
          <w:p w:rsidR="000816CE" w:rsidRDefault="00FC7BEB">
            <w:pPr>
              <w:widowControl/>
              <w:spacing w:line="240" w:lineRule="auto"/>
              <w:ind w:firstLineChars="0" w:firstLine="0"/>
              <w:jc w:val="center"/>
              <w:rPr>
                <w:rFonts w:ascii="仿宋" w:hAnsi="仿宋" w:cs="宋体"/>
                <w:b/>
                <w:color w:val="000000"/>
                <w:kern w:val="0"/>
                <w:sz w:val="24"/>
                <w:szCs w:val="24"/>
              </w:rPr>
            </w:pPr>
            <w:r>
              <w:rPr>
                <w:rFonts w:ascii="仿宋" w:hAnsi="仿宋" w:cs="宋体" w:hint="eastAsia"/>
                <w:b/>
                <w:color w:val="000000"/>
                <w:kern w:val="0"/>
                <w:sz w:val="24"/>
                <w:szCs w:val="24"/>
              </w:rPr>
              <w:t>增加值</w:t>
            </w:r>
          </w:p>
        </w:tc>
        <w:tc>
          <w:tcPr>
            <w:tcW w:w="1272" w:type="dxa"/>
            <w:tcBorders>
              <w:top w:val="single" w:sz="4" w:space="0" w:color="auto"/>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color w:val="000000"/>
                <w:kern w:val="0"/>
                <w:sz w:val="24"/>
                <w:szCs w:val="24"/>
              </w:rPr>
            </w:pPr>
            <w:r>
              <w:rPr>
                <w:rFonts w:ascii="仿宋" w:hAnsi="仿宋" w:cs="宋体" w:hint="eastAsia"/>
                <w:b/>
                <w:color w:val="000000"/>
                <w:kern w:val="0"/>
                <w:sz w:val="24"/>
                <w:szCs w:val="24"/>
              </w:rPr>
              <w:t>GDP</w:t>
            </w:r>
          </w:p>
          <w:p w:rsidR="000816CE" w:rsidRDefault="00FC7BEB">
            <w:pPr>
              <w:widowControl/>
              <w:spacing w:line="240" w:lineRule="auto"/>
              <w:ind w:firstLineChars="0" w:firstLine="0"/>
              <w:jc w:val="center"/>
              <w:rPr>
                <w:rFonts w:ascii="仿宋" w:hAnsi="仿宋" w:cs="宋体"/>
                <w:b/>
                <w:color w:val="000000"/>
                <w:kern w:val="0"/>
                <w:sz w:val="24"/>
                <w:szCs w:val="24"/>
              </w:rPr>
            </w:pPr>
            <w:r>
              <w:rPr>
                <w:rFonts w:ascii="仿宋" w:hAnsi="仿宋" w:cs="宋体" w:hint="eastAsia"/>
                <w:b/>
                <w:color w:val="000000"/>
                <w:kern w:val="0"/>
                <w:sz w:val="24"/>
                <w:szCs w:val="24"/>
              </w:rPr>
              <w:t>增长率</w:t>
            </w:r>
          </w:p>
        </w:tc>
        <w:tc>
          <w:tcPr>
            <w:tcW w:w="1570" w:type="dxa"/>
            <w:tcBorders>
              <w:top w:val="single" w:sz="4" w:space="0" w:color="auto"/>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color w:val="000000"/>
                <w:kern w:val="0"/>
                <w:sz w:val="24"/>
                <w:szCs w:val="24"/>
              </w:rPr>
            </w:pPr>
            <w:r>
              <w:rPr>
                <w:rFonts w:ascii="仿宋" w:hAnsi="仿宋" w:cs="宋体" w:hint="eastAsia"/>
                <w:b/>
                <w:color w:val="000000"/>
                <w:kern w:val="0"/>
                <w:sz w:val="24"/>
                <w:szCs w:val="24"/>
              </w:rPr>
              <w:t>服务业</w:t>
            </w:r>
          </w:p>
          <w:p w:rsidR="000816CE" w:rsidRDefault="00FC7BEB">
            <w:pPr>
              <w:widowControl/>
              <w:spacing w:line="240" w:lineRule="auto"/>
              <w:ind w:firstLineChars="0" w:firstLine="0"/>
              <w:jc w:val="center"/>
              <w:rPr>
                <w:rFonts w:ascii="仿宋" w:hAnsi="仿宋" w:cs="宋体"/>
                <w:b/>
                <w:color w:val="000000"/>
                <w:kern w:val="0"/>
                <w:sz w:val="24"/>
                <w:szCs w:val="24"/>
              </w:rPr>
            </w:pPr>
            <w:r>
              <w:rPr>
                <w:rFonts w:ascii="仿宋" w:hAnsi="仿宋" w:cs="宋体" w:hint="eastAsia"/>
                <w:b/>
                <w:color w:val="000000"/>
                <w:kern w:val="0"/>
                <w:sz w:val="24"/>
                <w:szCs w:val="24"/>
              </w:rPr>
              <w:t>增加值</w:t>
            </w:r>
          </w:p>
        </w:tc>
        <w:tc>
          <w:tcPr>
            <w:tcW w:w="1581" w:type="dxa"/>
            <w:tcBorders>
              <w:top w:val="single" w:sz="4" w:space="0" w:color="auto"/>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color w:val="FF0000"/>
                <w:kern w:val="0"/>
                <w:sz w:val="24"/>
                <w:szCs w:val="24"/>
              </w:rPr>
            </w:pPr>
            <w:r>
              <w:rPr>
                <w:rFonts w:ascii="仿宋" w:hAnsi="仿宋" w:cs="宋体" w:hint="eastAsia"/>
                <w:b/>
                <w:color w:val="000000"/>
                <w:kern w:val="0"/>
                <w:sz w:val="24"/>
                <w:szCs w:val="24"/>
              </w:rPr>
              <w:t>服务业</w:t>
            </w:r>
            <w:r>
              <w:rPr>
                <w:rFonts w:ascii="仿宋" w:hAnsi="仿宋" w:cs="宋体" w:hint="eastAsia"/>
                <w:b/>
                <w:kern w:val="0"/>
                <w:sz w:val="24"/>
                <w:szCs w:val="24"/>
              </w:rPr>
              <w:t>增加值</w:t>
            </w:r>
            <w:r>
              <w:rPr>
                <w:rFonts w:ascii="仿宋" w:hAnsi="仿宋" w:cs="宋体" w:hint="eastAsia"/>
                <w:b/>
                <w:color w:val="000000"/>
                <w:kern w:val="0"/>
                <w:sz w:val="24"/>
                <w:szCs w:val="24"/>
              </w:rPr>
              <w:t>增长率</w:t>
            </w:r>
          </w:p>
        </w:tc>
        <w:tc>
          <w:tcPr>
            <w:tcW w:w="1083" w:type="dxa"/>
            <w:tcBorders>
              <w:top w:val="single" w:sz="4" w:space="0" w:color="auto"/>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color w:val="000000"/>
                <w:kern w:val="0"/>
                <w:sz w:val="24"/>
                <w:szCs w:val="24"/>
              </w:rPr>
            </w:pPr>
            <w:r>
              <w:rPr>
                <w:rFonts w:ascii="仿宋" w:hAnsi="仿宋" w:cs="宋体" w:hint="eastAsia"/>
                <w:b/>
                <w:color w:val="000000"/>
                <w:kern w:val="0"/>
                <w:sz w:val="24"/>
                <w:szCs w:val="24"/>
              </w:rPr>
              <w:t>高于</w:t>
            </w:r>
            <w:r>
              <w:rPr>
                <w:rFonts w:ascii="仿宋" w:hAnsi="仿宋" w:cs="宋体" w:hint="eastAsia"/>
                <w:b/>
                <w:color w:val="000000"/>
                <w:kern w:val="0"/>
                <w:sz w:val="24"/>
                <w:szCs w:val="24"/>
              </w:rPr>
              <w:t>GDP</w:t>
            </w:r>
          </w:p>
        </w:tc>
        <w:tc>
          <w:tcPr>
            <w:tcW w:w="1205" w:type="dxa"/>
            <w:tcBorders>
              <w:top w:val="single" w:sz="4" w:space="0" w:color="auto"/>
              <w:left w:val="nil"/>
              <w:bottom w:val="single" w:sz="4" w:space="0" w:color="auto"/>
              <w:right w:val="single" w:sz="4" w:space="0" w:color="auto"/>
            </w:tcBorders>
            <w:shd w:val="clear" w:color="000000" w:fill="DAEEF3"/>
            <w:vAlign w:val="center"/>
          </w:tcPr>
          <w:p w:rsidR="000816CE" w:rsidRDefault="00FC7BEB">
            <w:pPr>
              <w:widowControl/>
              <w:spacing w:line="240" w:lineRule="auto"/>
              <w:ind w:firstLineChars="0" w:firstLine="0"/>
              <w:jc w:val="center"/>
              <w:rPr>
                <w:rFonts w:ascii="仿宋" w:hAnsi="仿宋" w:cs="宋体"/>
                <w:b/>
                <w:color w:val="000000"/>
                <w:kern w:val="0"/>
                <w:sz w:val="24"/>
                <w:szCs w:val="24"/>
              </w:rPr>
            </w:pPr>
            <w:r>
              <w:rPr>
                <w:rFonts w:ascii="仿宋" w:hAnsi="仿宋" w:cs="宋体" w:hint="eastAsia"/>
                <w:b/>
                <w:color w:val="000000"/>
                <w:kern w:val="0"/>
                <w:sz w:val="24"/>
                <w:szCs w:val="24"/>
              </w:rPr>
              <w:t>占全市增加值比重</w:t>
            </w:r>
          </w:p>
        </w:tc>
      </w:tr>
      <w:tr w:rsidR="000816CE">
        <w:trPr>
          <w:trHeight w:val="502"/>
        </w:trPr>
        <w:tc>
          <w:tcPr>
            <w:tcW w:w="953"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全市</w:t>
            </w:r>
          </w:p>
        </w:tc>
        <w:tc>
          <w:tcPr>
            <w:tcW w:w="130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2643.97</w:t>
            </w:r>
          </w:p>
        </w:tc>
        <w:tc>
          <w:tcPr>
            <w:tcW w:w="127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3.3%</w:t>
            </w:r>
          </w:p>
        </w:tc>
        <w:tc>
          <w:tcPr>
            <w:tcW w:w="1570"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1155.98</w:t>
            </w:r>
          </w:p>
        </w:tc>
        <w:tc>
          <w:tcPr>
            <w:tcW w:w="1581"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5.8%</w:t>
            </w:r>
          </w:p>
        </w:tc>
        <w:tc>
          <w:tcPr>
            <w:tcW w:w="1083"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2.5%</w:t>
            </w:r>
          </w:p>
        </w:tc>
        <w:tc>
          <w:tcPr>
            <w:tcW w:w="1205"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100.00%</w:t>
            </w:r>
          </w:p>
        </w:tc>
      </w:tr>
      <w:tr w:rsidR="000816CE">
        <w:trPr>
          <w:trHeight w:val="502"/>
        </w:trPr>
        <w:tc>
          <w:tcPr>
            <w:tcW w:w="953"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城厢区</w:t>
            </w:r>
          </w:p>
        </w:tc>
        <w:tc>
          <w:tcPr>
            <w:tcW w:w="130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485.85</w:t>
            </w:r>
          </w:p>
        </w:tc>
        <w:tc>
          <w:tcPr>
            <w:tcW w:w="127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3.8%</w:t>
            </w:r>
          </w:p>
        </w:tc>
        <w:tc>
          <w:tcPr>
            <w:tcW w:w="1570"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303.99</w:t>
            </w:r>
          </w:p>
        </w:tc>
        <w:tc>
          <w:tcPr>
            <w:tcW w:w="1581"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6.7%</w:t>
            </w:r>
          </w:p>
        </w:tc>
        <w:tc>
          <w:tcPr>
            <w:tcW w:w="1083"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2.9%</w:t>
            </w:r>
          </w:p>
        </w:tc>
        <w:tc>
          <w:tcPr>
            <w:tcW w:w="1205"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26.30%</w:t>
            </w:r>
          </w:p>
        </w:tc>
      </w:tr>
      <w:tr w:rsidR="000816CE">
        <w:trPr>
          <w:trHeight w:val="502"/>
        </w:trPr>
        <w:tc>
          <w:tcPr>
            <w:tcW w:w="953"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涵江区</w:t>
            </w:r>
          </w:p>
        </w:tc>
        <w:tc>
          <w:tcPr>
            <w:tcW w:w="130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595.12</w:t>
            </w:r>
          </w:p>
        </w:tc>
        <w:tc>
          <w:tcPr>
            <w:tcW w:w="127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5.4%</w:t>
            </w:r>
          </w:p>
        </w:tc>
        <w:tc>
          <w:tcPr>
            <w:tcW w:w="1570"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186.39</w:t>
            </w:r>
          </w:p>
        </w:tc>
        <w:tc>
          <w:tcPr>
            <w:tcW w:w="1581"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9.4%</w:t>
            </w:r>
          </w:p>
        </w:tc>
        <w:tc>
          <w:tcPr>
            <w:tcW w:w="1083"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4.0%</w:t>
            </w:r>
          </w:p>
        </w:tc>
        <w:tc>
          <w:tcPr>
            <w:tcW w:w="1205"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16.12%</w:t>
            </w:r>
          </w:p>
        </w:tc>
      </w:tr>
      <w:tr w:rsidR="000816CE">
        <w:trPr>
          <w:trHeight w:val="502"/>
        </w:trPr>
        <w:tc>
          <w:tcPr>
            <w:tcW w:w="953"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荔城区</w:t>
            </w:r>
          </w:p>
        </w:tc>
        <w:tc>
          <w:tcPr>
            <w:tcW w:w="130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548.01</w:t>
            </w:r>
          </w:p>
        </w:tc>
        <w:tc>
          <w:tcPr>
            <w:tcW w:w="127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2.2%</w:t>
            </w:r>
          </w:p>
        </w:tc>
        <w:tc>
          <w:tcPr>
            <w:tcW w:w="1570"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245.57</w:t>
            </w:r>
          </w:p>
        </w:tc>
        <w:tc>
          <w:tcPr>
            <w:tcW w:w="1581"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3.0%</w:t>
            </w:r>
          </w:p>
        </w:tc>
        <w:tc>
          <w:tcPr>
            <w:tcW w:w="1083"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0.8%</w:t>
            </w:r>
          </w:p>
        </w:tc>
        <w:tc>
          <w:tcPr>
            <w:tcW w:w="1205"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21.24%</w:t>
            </w:r>
          </w:p>
        </w:tc>
      </w:tr>
      <w:tr w:rsidR="000816CE">
        <w:trPr>
          <w:trHeight w:val="502"/>
        </w:trPr>
        <w:tc>
          <w:tcPr>
            <w:tcW w:w="953"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秀屿区</w:t>
            </w:r>
          </w:p>
        </w:tc>
        <w:tc>
          <w:tcPr>
            <w:tcW w:w="130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381.78</w:t>
            </w:r>
          </w:p>
        </w:tc>
        <w:tc>
          <w:tcPr>
            <w:tcW w:w="127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1.3%</w:t>
            </w:r>
          </w:p>
        </w:tc>
        <w:tc>
          <w:tcPr>
            <w:tcW w:w="1570"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124.58</w:t>
            </w:r>
          </w:p>
        </w:tc>
        <w:tc>
          <w:tcPr>
            <w:tcW w:w="1581"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2.6%</w:t>
            </w:r>
          </w:p>
        </w:tc>
        <w:tc>
          <w:tcPr>
            <w:tcW w:w="1083"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1.3%</w:t>
            </w:r>
          </w:p>
        </w:tc>
        <w:tc>
          <w:tcPr>
            <w:tcW w:w="1205"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10.78%</w:t>
            </w:r>
          </w:p>
        </w:tc>
      </w:tr>
      <w:tr w:rsidR="000816CE">
        <w:trPr>
          <w:trHeight w:val="502"/>
        </w:trPr>
        <w:tc>
          <w:tcPr>
            <w:tcW w:w="953"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仙游县</w:t>
            </w:r>
          </w:p>
        </w:tc>
        <w:tc>
          <w:tcPr>
            <w:tcW w:w="130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521.48</w:t>
            </w:r>
          </w:p>
        </w:tc>
        <w:tc>
          <w:tcPr>
            <w:tcW w:w="127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3.8%</w:t>
            </w:r>
          </w:p>
        </w:tc>
        <w:tc>
          <w:tcPr>
            <w:tcW w:w="1570"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242.11</w:t>
            </w:r>
          </w:p>
        </w:tc>
        <w:tc>
          <w:tcPr>
            <w:tcW w:w="1581"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7.5%</w:t>
            </w:r>
          </w:p>
        </w:tc>
        <w:tc>
          <w:tcPr>
            <w:tcW w:w="1083"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3.7%</w:t>
            </w:r>
          </w:p>
        </w:tc>
        <w:tc>
          <w:tcPr>
            <w:tcW w:w="1205"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20.94%</w:t>
            </w:r>
          </w:p>
        </w:tc>
      </w:tr>
      <w:tr w:rsidR="000816CE">
        <w:trPr>
          <w:trHeight w:val="502"/>
        </w:trPr>
        <w:tc>
          <w:tcPr>
            <w:tcW w:w="953"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lastRenderedPageBreak/>
              <w:t>湄洲岛</w:t>
            </w:r>
          </w:p>
        </w:tc>
        <w:tc>
          <w:tcPr>
            <w:tcW w:w="130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18.57</w:t>
            </w:r>
          </w:p>
        </w:tc>
        <w:tc>
          <w:tcPr>
            <w:tcW w:w="127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3.6%</w:t>
            </w:r>
          </w:p>
        </w:tc>
        <w:tc>
          <w:tcPr>
            <w:tcW w:w="1570"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11.44</w:t>
            </w:r>
          </w:p>
        </w:tc>
        <w:tc>
          <w:tcPr>
            <w:tcW w:w="1581"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3.9%</w:t>
            </w:r>
          </w:p>
        </w:tc>
        <w:tc>
          <w:tcPr>
            <w:tcW w:w="1083"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0.3%</w:t>
            </w:r>
          </w:p>
        </w:tc>
        <w:tc>
          <w:tcPr>
            <w:tcW w:w="1205"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0.99%</w:t>
            </w:r>
          </w:p>
        </w:tc>
      </w:tr>
      <w:tr w:rsidR="000816CE">
        <w:trPr>
          <w:trHeight w:val="502"/>
        </w:trPr>
        <w:tc>
          <w:tcPr>
            <w:tcW w:w="953"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北岸</w:t>
            </w:r>
          </w:p>
        </w:tc>
        <w:tc>
          <w:tcPr>
            <w:tcW w:w="130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93.15</w:t>
            </w:r>
          </w:p>
        </w:tc>
        <w:tc>
          <w:tcPr>
            <w:tcW w:w="127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0.3%</w:t>
            </w:r>
          </w:p>
        </w:tc>
        <w:tc>
          <w:tcPr>
            <w:tcW w:w="1570"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41.89</w:t>
            </w:r>
          </w:p>
        </w:tc>
        <w:tc>
          <w:tcPr>
            <w:tcW w:w="1581"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1.7%</w:t>
            </w:r>
          </w:p>
        </w:tc>
        <w:tc>
          <w:tcPr>
            <w:tcW w:w="1083"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1.4%</w:t>
            </w:r>
          </w:p>
        </w:tc>
        <w:tc>
          <w:tcPr>
            <w:tcW w:w="1205"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3.62%</w:t>
            </w:r>
          </w:p>
        </w:tc>
      </w:tr>
    </w:tbl>
    <w:p w:rsidR="000816CE" w:rsidRDefault="000816CE">
      <w:pPr>
        <w:ind w:firstLineChars="0" w:firstLine="0"/>
        <w:jc w:val="center"/>
        <w:rPr>
          <w:rFonts w:ascii="仿宋" w:hAnsi="仿宋"/>
          <w:b/>
          <w:sz w:val="28"/>
          <w:szCs w:val="28"/>
        </w:rPr>
      </w:pPr>
    </w:p>
    <w:p w:rsidR="000816CE" w:rsidRDefault="00FC7BEB">
      <w:pPr>
        <w:ind w:firstLineChars="0" w:firstLine="0"/>
        <w:jc w:val="center"/>
        <w:rPr>
          <w:rFonts w:eastAsia="仿宋_GB2312"/>
          <w:b/>
          <w:sz w:val="28"/>
          <w:szCs w:val="28"/>
        </w:rPr>
      </w:pPr>
      <w:r>
        <w:rPr>
          <w:rFonts w:ascii="仿宋" w:hAnsi="仿宋" w:hint="eastAsia"/>
          <w:b/>
          <w:sz w:val="28"/>
          <w:szCs w:val="28"/>
        </w:rPr>
        <w:t>“十三五”末现代服</w:t>
      </w:r>
      <w:r>
        <w:rPr>
          <w:rFonts w:eastAsia="仿宋_GB2312" w:hint="eastAsia"/>
          <w:b/>
          <w:sz w:val="28"/>
          <w:szCs w:val="28"/>
        </w:rPr>
        <w:t>务业各行业目标值完成情况</w:t>
      </w:r>
    </w:p>
    <w:tbl>
      <w:tblPr>
        <w:tblW w:w="9163" w:type="dxa"/>
        <w:tblInd w:w="93" w:type="dxa"/>
        <w:tblLook w:val="04A0"/>
      </w:tblPr>
      <w:tblGrid>
        <w:gridCol w:w="3410"/>
        <w:gridCol w:w="1179"/>
        <w:gridCol w:w="1142"/>
        <w:gridCol w:w="1145"/>
        <w:gridCol w:w="1142"/>
        <w:gridCol w:w="1145"/>
      </w:tblGrid>
      <w:tr w:rsidR="000816CE">
        <w:trPr>
          <w:trHeight w:val="322"/>
        </w:trPr>
        <w:tc>
          <w:tcPr>
            <w:tcW w:w="3410" w:type="dxa"/>
            <w:vMerge w:val="restart"/>
            <w:tcBorders>
              <w:top w:val="single" w:sz="4" w:space="0" w:color="auto"/>
              <w:left w:val="single" w:sz="4" w:space="0" w:color="auto"/>
              <w:bottom w:val="single" w:sz="4" w:space="0" w:color="auto"/>
              <w:right w:val="single" w:sz="4" w:space="0" w:color="auto"/>
            </w:tcBorders>
            <w:shd w:val="clear" w:color="000000" w:fill="DAEEF3"/>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相关指标</w:t>
            </w:r>
          </w:p>
        </w:tc>
        <w:tc>
          <w:tcPr>
            <w:tcW w:w="1179" w:type="dxa"/>
            <w:vMerge w:val="restart"/>
            <w:tcBorders>
              <w:top w:val="single" w:sz="4" w:space="0" w:color="auto"/>
              <w:left w:val="single" w:sz="4" w:space="0" w:color="auto"/>
              <w:bottom w:val="single" w:sz="4" w:space="0" w:color="000000"/>
              <w:right w:val="single" w:sz="4" w:space="0" w:color="auto"/>
            </w:tcBorders>
            <w:shd w:val="clear" w:color="000000" w:fill="DAEEF3"/>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单位</w:t>
            </w:r>
          </w:p>
        </w:tc>
        <w:tc>
          <w:tcPr>
            <w:tcW w:w="2287" w:type="dxa"/>
            <w:gridSpan w:val="2"/>
            <w:tcBorders>
              <w:top w:val="single" w:sz="4" w:space="0" w:color="auto"/>
              <w:left w:val="nil"/>
              <w:bottom w:val="single" w:sz="4" w:space="0" w:color="auto"/>
              <w:right w:val="single" w:sz="4" w:space="0" w:color="auto"/>
            </w:tcBorders>
            <w:shd w:val="clear" w:color="000000" w:fill="DAEEF3"/>
            <w:noWrap/>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2015</w:t>
            </w:r>
            <w:r>
              <w:rPr>
                <w:rFonts w:ascii="仿宋" w:hAnsi="仿宋" w:cs="宋体" w:hint="eastAsia"/>
                <w:b/>
                <w:bCs/>
                <w:kern w:val="0"/>
                <w:sz w:val="24"/>
                <w:szCs w:val="24"/>
              </w:rPr>
              <w:t>年</w:t>
            </w:r>
          </w:p>
        </w:tc>
        <w:tc>
          <w:tcPr>
            <w:tcW w:w="2287" w:type="dxa"/>
            <w:gridSpan w:val="2"/>
            <w:tcBorders>
              <w:top w:val="single" w:sz="4" w:space="0" w:color="auto"/>
              <w:left w:val="nil"/>
              <w:bottom w:val="single" w:sz="4" w:space="0" w:color="auto"/>
              <w:right w:val="single" w:sz="4" w:space="0" w:color="auto"/>
            </w:tcBorders>
            <w:shd w:val="clear" w:color="000000" w:fill="DAEEF3"/>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2020</w:t>
            </w:r>
            <w:r>
              <w:rPr>
                <w:rFonts w:ascii="仿宋" w:hAnsi="仿宋" w:cs="宋体" w:hint="eastAsia"/>
                <w:b/>
                <w:bCs/>
                <w:kern w:val="0"/>
                <w:sz w:val="24"/>
                <w:szCs w:val="24"/>
              </w:rPr>
              <w:t>年</w:t>
            </w:r>
          </w:p>
        </w:tc>
      </w:tr>
      <w:tr w:rsidR="000816CE">
        <w:trPr>
          <w:trHeight w:val="541"/>
        </w:trPr>
        <w:tc>
          <w:tcPr>
            <w:tcW w:w="3410" w:type="dxa"/>
            <w:vMerge/>
            <w:tcBorders>
              <w:top w:val="single" w:sz="4" w:space="0" w:color="auto"/>
              <w:left w:val="single" w:sz="4" w:space="0" w:color="auto"/>
              <w:bottom w:val="single" w:sz="4" w:space="0" w:color="auto"/>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b/>
                <w:bCs/>
                <w:kern w:val="0"/>
                <w:sz w:val="24"/>
                <w:szCs w:val="24"/>
              </w:rPr>
            </w:pPr>
          </w:p>
        </w:tc>
        <w:tc>
          <w:tcPr>
            <w:tcW w:w="1179" w:type="dxa"/>
            <w:vMerge/>
            <w:tcBorders>
              <w:top w:val="single" w:sz="4" w:space="0" w:color="auto"/>
              <w:left w:val="single" w:sz="4" w:space="0" w:color="auto"/>
              <w:bottom w:val="single" w:sz="4"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b/>
                <w:bCs/>
                <w:kern w:val="0"/>
                <w:sz w:val="24"/>
                <w:szCs w:val="24"/>
              </w:rPr>
            </w:pPr>
          </w:p>
        </w:tc>
        <w:tc>
          <w:tcPr>
            <w:tcW w:w="1142" w:type="dxa"/>
            <w:tcBorders>
              <w:top w:val="nil"/>
              <w:left w:val="nil"/>
              <w:bottom w:val="single" w:sz="4" w:space="0" w:color="auto"/>
              <w:right w:val="single" w:sz="4" w:space="0" w:color="auto"/>
            </w:tcBorders>
            <w:shd w:val="clear" w:color="000000" w:fill="DAEEF3"/>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实绩</w:t>
            </w:r>
          </w:p>
        </w:tc>
        <w:tc>
          <w:tcPr>
            <w:tcW w:w="1144" w:type="dxa"/>
            <w:tcBorders>
              <w:top w:val="nil"/>
              <w:left w:val="nil"/>
              <w:bottom w:val="single" w:sz="4" w:space="0" w:color="auto"/>
              <w:right w:val="single" w:sz="4" w:space="0" w:color="auto"/>
            </w:tcBorders>
            <w:shd w:val="clear" w:color="000000" w:fill="DAEEF3"/>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增幅（</w:t>
            </w:r>
            <w:r>
              <w:rPr>
                <w:rFonts w:ascii="仿宋" w:hAnsi="仿宋" w:cs="宋体" w:hint="eastAsia"/>
                <w:b/>
                <w:bCs/>
                <w:kern w:val="0"/>
                <w:sz w:val="24"/>
                <w:szCs w:val="24"/>
              </w:rPr>
              <w:t>%</w:t>
            </w:r>
            <w:r>
              <w:rPr>
                <w:rFonts w:ascii="仿宋" w:hAnsi="仿宋" w:cs="宋体" w:hint="eastAsia"/>
                <w:b/>
                <w:bCs/>
                <w:kern w:val="0"/>
                <w:sz w:val="24"/>
                <w:szCs w:val="24"/>
              </w:rPr>
              <w:t>）</w:t>
            </w:r>
          </w:p>
        </w:tc>
        <w:tc>
          <w:tcPr>
            <w:tcW w:w="1142" w:type="dxa"/>
            <w:tcBorders>
              <w:top w:val="nil"/>
              <w:left w:val="nil"/>
              <w:bottom w:val="single" w:sz="4" w:space="0" w:color="auto"/>
              <w:right w:val="single" w:sz="4" w:space="0" w:color="auto"/>
            </w:tcBorders>
            <w:shd w:val="clear" w:color="000000" w:fill="DAEEF3"/>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实绩</w:t>
            </w:r>
          </w:p>
        </w:tc>
        <w:tc>
          <w:tcPr>
            <w:tcW w:w="1144" w:type="dxa"/>
            <w:tcBorders>
              <w:top w:val="nil"/>
              <w:left w:val="nil"/>
              <w:bottom w:val="single" w:sz="4" w:space="0" w:color="auto"/>
              <w:right w:val="single" w:sz="4" w:space="0" w:color="auto"/>
            </w:tcBorders>
            <w:shd w:val="clear" w:color="000000" w:fill="DAEEF3"/>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增幅（</w:t>
            </w:r>
            <w:r>
              <w:rPr>
                <w:rFonts w:ascii="仿宋" w:hAnsi="仿宋" w:cs="宋体" w:hint="eastAsia"/>
                <w:b/>
                <w:bCs/>
                <w:kern w:val="0"/>
                <w:sz w:val="24"/>
                <w:szCs w:val="24"/>
              </w:rPr>
              <w:t>%</w:t>
            </w:r>
            <w:r>
              <w:rPr>
                <w:rFonts w:ascii="仿宋" w:hAnsi="仿宋" w:cs="宋体" w:hint="eastAsia"/>
                <w:b/>
                <w:bCs/>
                <w:kern w:val="0"/>
                <w:sz w:val="24"/>
                <w:szCs w:val="24"/>
              </w:rPr>
              <w:t>）</w:t>
            </w:r>
          </w:p>
        </w:tc>
      </w:tr>
      <w:tr w:rsidR="000816CE">
        <w:trPr>
          <w:trHeight w:val="414"/>
        </w:trPr>
        <w:tc>
          <w:tcPr>
            <w:tcW w:w="3410"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服务业增加值</w:t>
            </w:r>
          </w:p>
        </w:tc>
        <w:tc>
          <w:tcPr>
            <w:tcW w:w="1179"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590.71</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12.1</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1155.98 </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5.8 </w:t>
            </w:r>
          </w:p>
        </w:tc>
      </w:tr>
      <w:tr w:rsidR="000816CE">
        <w:trPr>
          <w:trHeight w:val="460"/>
        </w:trPr>
        <w:tc>
          <w:tcPr>
            <w:tcW w:w="3410" w:type="dxa"/>
            <w:tcBorders>
              <w:top w:val="nil"/>
              <w:left w:val="single" w:sz="4" w:space="0" w:color="auto"/>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b/>
                <w:bCs/>
                <w:kern w:val="0"/>
                <w:sz w:val="24"/>
                <w:szCs w:val="24"/>
              </w:rPr>
            </w:pPr>
            <w:r>
              <w:rPr>
                <w:rFonts w:ascii="仿宋" w:hAnsi="仿宋" w:cs="宋体" w:hint="eastAsia"/>
                <w:b/>
                <w:bCs/>
                <w:kern w:val="0"/>
                <w:sz w:val="24"/>
                <w:szCs w:val="24"/>
              </w:rPr>
              <w:t>服务业增加值占</w:t>
            </w:r>
            <w:r>
              <w:rPr>
                <w:rFonts w:ascii="仿宋" w:hAnsi="仿宋" w:cs="宋体" w:hint="eastAsia"/>
                <w:b/>
                <w:bCs/>
                <w:kern w:val="0"/>
                <w:sz w:val="24"/>
                <w:szCs w:val="24"/>
              </w:rPr>
              <w:t>GDP</w:t>
            </w:r>
            <w:r>
              <w:rPr>
                <w:rFonts w:ascii="仿宋" w:hAnsi="仿宋" w:cs="宋体" w:hint="eastAsia"/>
                <w:b/>
                <w:bCs/>
                <w:kern w:val="0"/>
                <w:sz w:val="24"/>
                <w:szCs w:val="24"/>
              </w:rPr>
              <w:t>的比重</w:t>
            </w:r>
          </w:p>
        </w:tc>
        <w:tc>
          <w:tcPr>
            <w:tcW w:w="1179"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35.7</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43.7</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w:t>
            </w:r>
          </w:p>
        </w:tc>
      </w:tr>
      <w:tr w:rsidR="000816CE">
        <w:trPr>
          <w:trHeight w:val="518"/>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社会消费品零售总额</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558.85</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12.2</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1612.26</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-0.8 </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批发业商品销售额</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909.56</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9.4</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2332.28</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22.5</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零售业商品销售额</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579.38</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17.9</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1238.85</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4.6</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住宿餐饮业营业额</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62.86</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11.6</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118.76</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-7.5</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公路运输总周转量</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亿吨公里</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47.8</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15</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46.41</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5.1 </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水路运输总周转量</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亿吨公里</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60.25</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15.7</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19.65</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11.6 </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邮政及快递业务总量</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2.06</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-11.2</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56.87</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15.2 </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金融业存贷款余额（人民币）</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3036.09</w:t>
            </w:r>
          </w:p>
        </w:tc>
        <w:tc>
          <w:tcPr>
            <w:tcW w:w="114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10.3</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4502.38</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12.8</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金融机构本外币存款余额</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1608.2</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11 </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2317.49</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13.8 </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金融机构本外币贷款余额</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1466.17</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11 </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2210.81</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11.8 </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房地产商品房销售面积</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万平方米</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220.17</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11.7</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426.37</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-3.1 </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2"/>
                <w:szCs w:val="22"/>
              </w:rPr>
            </w:pPr>
            <w:r>
              <w:rPr>
                <w:rFonts w:ascii="仿宋" w:hAnsi="仿宋" w:cs="宋体" w:hint="eastAsia"/>
                <w:kern w:val="0"/>
                <w:sz w:val="22"/>
                <w:szCs w:val="22"/>
              </w:rPr>
              <w:t>规模以上其他营利性服务业营业</w:t>
            </w:r>
            <w:r>
              <w:rPr>
                <w:rFonts w:ascii="仿宋" w:hAnsi="仿宋" w:cs="宋体" w:hint="eastAsia"/>
                <w:kern w:val="0"/>
                <w:sz w:val="22"/>
                <w:szCs w:val="22"/>
              </w:rPr>
              <w:lastRenderedPageBreak/>
              <w:t>收入</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lastRenderedPageBreak/>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11.83</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53.6</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67.53</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14.7 </w:t>
            </w:r>
          </w:p>
        </w:tc>
      </w:tr>
      <w:tr w:rsidR="000816CE">
        <w:trPr>
          <w:trHeight w:val="552"/>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lastRenderedPageBreak/>
              <w:t>电信业务总量</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40.75</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1.6</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250</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17.1 </w:t>
            </w:r>
          </w:p>
        </w:tc>
      </w:tr>
      <w:tr w:rsidR="000816CE">
        <w:trPr>
          <w:trHeight w:val="495"/>
        </w:trPr>
        <w:tc>
          <w:tcPr>
            <w:tcW w:w="3410" w:type="dxa"/>
            <w:tcBorders>
              <w:top w:val="nil"/>
              <w:left w:val="single" w:sz="4"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非营利性服务业劳动者报酬</w:t>
            </w:r>
          </w:p>
        </w:tc>
        <w:tc>
          <w:tcPr>
            <w:tcW w:w="1179"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亿元</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w:t>
            </w:r>
          </w:p>
        </w:tc>
        <w:tc>
          <w:tcPr>
            <w:tcW w:w="1142"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w:t>
            </w:r>
          </w:p>
        </w:tc>
        <w:tc>
          <w:tcPr>
            <w:tcW w:w="1144" w:type="dxa"/>
            <w:tcBorders>
              <w:top w:val="nil"/>
              <w:left w:val="nil"/>
              <w:bottom w:val="single" w:sz="4" w:space="0" w:color="auto"/>
              <w:right w:val="single" w:sz="4" w:space="0" w:color="auto"/>
            </w:tcBorders>
            <w:shd w:val="clear" w:color="auto" w:fill="auto"/>
            <w:noWrap/>
            <w:vAlign w:val="center"/>
          </w:tcPr>
          <w:p w:rsidR="000816CE" w:rsidRDefault="00FC7BEB">
            <w:pPr>
              <w:widowControl/>
              <w:adjustRightInd/>
              <w:snapToGrid/>
              <w:spacing w:line="240" w:lineRule="auto"/>
              <w:ind w:firstLineChars="0" w:firstLine="0"/>
              <w:jc w:val="center"/>
              <w:rPr>
                <w:rFonts w:ascii="仿宋" w:hAnsi="仿宋" w:cs="宋体"/>
                <w:kern w:val="0"/>
                <w:sz w:val="24"/>
                <w:szCs w:val="24"/>
              </w:rPr>
            </w:pPr>
            <w:r>
              <w:rPr>
                <w:rFonts w:ascii="仿宋" w:hAnsi="仿宋" w:cs="宋体" w:hint="eastAsia"/>
                <w:kern w:val="0"/>
                <w:sz w:val="24"/>
                <w:szCs w:val="24"/>
              </w:rPr>
              <w:t xml:space="preserve">11.1 </w:t>
            </w:r>
          </w:p>
        </w:tc>
      </w:tr>
    </w:tbl>
    <w:p w:rsidR="000816CE" w:rsidRDefault="00FC7BEB" w:rsidP="006C0D30">
      <w:pPr>
        <w:pStyle w:val="2"/>
        <w:spacing w:beforeLines="200" w:after="156"/>
        <w:ind w:firstLine="640"/>
        <w:rPr>
          <w:rFonts w:eastAsia="仿宋" w:hint="default"/>
        </w:rPr>
      </w:pPr>
      <w:bookmarkStart w:id="4" w:name="_Toc9024"/>
      <w:r>
        <w:t>（二）存在问题</w:t>
      </w:r>
      <w:bookmarkEnd w:id="4"/>
      <w:r>
        <w:t xml:space="preserve">     </w:t>
      </w:r>
    </w:p>
    <w:p w:rsidR="000816CE" w:rsidRDefault="00FC7BEB" w:rsidP="006C0D30">
      <w:pPr>
        <w:pStyle w:val="3"/>
        <w:spacing w:before="156" w:after="156"/>
        <w:ind w:firstLine="640"/>
        <w:rPr>
          <w:rFonts w:hint="default"/>
        </w:rPr>
      </w:pPr>
      <w:r>
        <w:t>1.</w:t>
      </w:r>
      <w:r>
        <w:t>服务业供给能力仍待提升</w:t>
      </w:r>
    </w:p>
    <w:p w:rsidR="000816CE" w:rsidRDefault="00FC7BEB">
      <w:pPr>
        <w:ind w:firstLine="644"/>
      </w:pPr>
      <w:r>
        <w:rPr>
          <w:rFonts w:eastAsia="仿宋_GB2312"/>
          <w:snapToGrid w:val="0"/>
          <w:spacing w:val="1"/>
        </w:rPr>
        <w:t>2020</w:t>
      </w:r>
      <w:r>
        <w:rPr>
          <w:rFonts w:eastAsia="仿宋_GB2312"/>
          <w:snapToGrid w:val="0"/>
          <w:spacing w:val="1"/>
        </w:rPr>
        <w:t>年，莆田市服务业增加值占</w:t>
      </w:r>
      <w:r>
        <w:rPr>
          <w:rFonts w:eastAsia="仿宋_GB2312"/>
          <w:snapToGrid w:val="0"/>
          <w:spacing w:val="1"/>
        </w:rPr>
        <w:t>GDP</w:t>
      </w:r>
      <w:r>
        <w:rPr>
          <w:rFonts w:eastAsia="仿宋_GB2312"/>
          <w:snapToGrid w:val="0"/>
          <w:spacing w:val="1"/>
        </w:rPr>
        <w:t>比重</w:t>
      </w:r>
      <w:r>
        <w:rPr>
          <w:rFonts w:eastAsia="仿宋_GB2312"/>
          <w:snapToGrid w:val="0"/>
          <w:spacing w:val="1"/>
        </w:rPr>
        <w:t>43.7%</w:t>
      </w:r>
      <w:r>
        <w:rPr>
          <w:rFonts w:eastAsia="仿宋_GB2312"/>
          <w:snapToGrid w:val="0"/>
          <w:spacing w:val="1"/>
        </w:rPr>
        <w:t>，低于全省平均水平</w:t>
      </w:r>
      <w:r>
        <w:rPr>
          <w:rFonts w:eastAsia="仿宋_GB2312" w:hint="eastAsia"/>
          <w:snapToGrid w:val="0"/>
          <w:spacing w:val="1"/>
        </w:rPr>
        <w:t>（</w:t>
      </w:r>
      <w:r>
        <w:rPr>
          <w:rFonts w:eastAsia="仿宋_GB2312"/>
          <w:snapToGrid w:val="0"/>
          <w:spacing w:val="1"/>
        </w:rPr>
        <w:t>47.5%</w:t>
      </w:r>
      <w:r>
        <w:rPr>
          <w:rFonts w:eastAsia="仿宋_GB2312" w:hint="eastAsia"/>
          <w:snapToGrid w:val="0"/>
          <w:spacing w:val="1"/>
        </w:rPr>
        <w:t>）</w:t>
      </w:r>
      <w:r>
        <w:rPr>
          <w:rFonts w:eastAsia="仿宋_GB2312" w:hint="eastAsia"/>
          <w:snapToGrid w:val="0"/>
          <w:spacing w:val="1"/>
        </w:rPr>
        <w:t>3.8</w:t>
      </w:r>
      <w:r>
        <w:rPr>
          <w:rFonts w:eastAsia="仿宋_GB2312" w:hint="eastAsia"/>
          <w:snapToGrid w:val="0"/>
          <w:spacing w:val="1"/>
        </w:rPr>
        <w:t>个百分点</w:t>
      </w:r>
      <w:r>
        <w:rPr>
          <w:rFonts w:eastAsia="仿宋_GB2312"/>
          <w:snapToGrid w:val="0"/>
          <w:spacing w:val="1"/>
        </w:rPr>
        <w:t>，低于全国平均水平</w:t>
      </w:r>
      <w:r>
        <w:rPr>
          <w:rFonts w:eastAsia="仿宋_GB2312" w:hint="eastAsia"/>
          <w:snapToGrid w:val="0"/>
          <w:spacing w:val="1"/>
        </w:rPr>
        <w:t>（</w:t>
      </w:r>
      <w:r>
        <w:rPr>
          <w:rFonts w:eastAsia="仿宋_GB2312"/>
          <w:snapToGrid w:val="0"/>
          <w:spacing w:val="1"/>
        </w:rPr>
        <w:t>54.5%</w:t>
      </w:r>
      <w:r>
        <w:rPr>
          <w:rFonts w:eastAsia="仿宋_GB2312" w:hint="eastAsia"/>
          <w:snapToGrid w:val="0"/>
          <w:spacing w:val="1"/>
        </w:rPr>
        <w:t>）</w:t>
      </w:r>
      <w:r>
        <w:rPr>
          <w:rFonts w:eastAsia="仿宋_GB2312" w:hint="eastAsia"/>
          <w:snapToGrid w:val="0"/>
          <w:spacing w:val="1"/>
        </w:rPr>
        <w:t>10.8</w:t>
      </w:r>
      <w:r>
        <w:rPr>
          <w:rFonts w:eastAsia="仿宋_GB2312" w:hint="eastAsia"/>
          <w:snapToGrid w:val="0"/>
          <w:spacing w:val="1"/>
        </w:rPr>
        <w:t>个百分点</w:t>
      </w:r>
      <w:r>
        <w:rPr>
          <w:rFonts w:eastAsia="仿宋_GB2312"/>
          <w:snapToGrid w:val="0"/>
          <w:spacing w:val="1"/>
        </w:rPr>
        <w:t>，比</w:t>
      </w:r>
      <w:r>
        <w:rPr>
          <w:rFonts w:eastAsia="仿宋_GB2312" w:hint="eastAsia"/>
          <w:snapToGrid w:val="0"/>
          <w:spacing w:val="1"/>
        </w:rPr>
        <w:t>莆田</w:t>
      </w:r>
      <w:r>
        <w:rPr>
          <w:rFonts w:eastAsia="仿宋_GB2312"/>
          <w:snapToGrid w:val="0"/>
          <w:spacing w:val="1"/>
        </w:rPr>
        <w:t>市第二产业低</w:t>
      </w:r>
      <w:r>
        <w:rPr>
          <w:rFonts w:eastAsia="仿宋_GB2312"/>
          <w:snapToGrid w:val="0"/>
          <w:spacing w:val="1"/>
        </w:rPr>
        <w:t>7.8</w:t>
      </w:r>
      <w:r>
        <w:rPr>
          <w:rFonts w:eastAsia="仿宋_GB2312"/>
          <w:snapToGrid w:val="0"/>
          <w:spacing w:val="1"/>
        </w:rPr>
        <w:t>个百分点</w:t>
      </w:r>
      <w:r>
        <w:rPr>
          <w:rFonts w:ascii="仿宋_GB2312" w:eastAsia="仿宋_GB2312" w:cs="仿宋_GB2312" w:hint="eastAsia"/>
          <w:snapToGrid w:val="0"/>
          <w:spacing w:val="1"/>
        </w:rPr>
        <w:t>。“十三五”期间，全市服务业增加值年均</w:t>
      </w:r>
      <w:r>
        <w:rPr>
          <w:rFonts w:ascii="仿宋_GB2312" w:eastAsia="仿宋_GB2312" w:cs="仿宋_GB2312" w:hint="eastAsia"/>
          <w:bCs/>
          <w:snapToGrid w:val="0"/>
          <w:spacing w:val="1"/>
        </w:rPr>
        <w:t>增长</w:t>
      </w:r>
      <w:r>
        <w:rPr>
          <w:rFonts w:eastAsia="仿宋_GB2312"/>
          <w:bCs/>
          <w:snapToGrid w:val="0"/>
          <w:spacing w:val="1"/>
        </w:rPr>
        <w:t>8.9%</w:t>
      </w:r>
      <w:r>
        <w:rPr>
          <w:rFonts w:eastAsia="仿宋_GB2312"/>
          <w:bCs/>
          <w:snapToGrid w:val="0"/>
          <w:spacing w:val="1"/>
        </w:rPr>
        <w:t>，比全省平均水平高</w:t>
      </w:r>
      <w:r>
        <w:rPr>
          <w:rFonts w:eastAsia="仿宋_GB2312"/>
          <w:bCs/>
          <w:snapToGrid w:val="0"/>
          <w:spacing w:val="1"/>
        </w:rPr>
        <w:t>0.1</w:t>
      </w:r>
      <w:r>
        <w:rPr>
          <w:rFonts w:eastAsia="仿宋_GB2312"/>
          <w:bCs/>
          <w:snapToGrid w:val="0"/>
          <w:spacing w:val="1"/>
        </w:rPr>
        <w:t>个百分</w:t>
      </w:r>
      <w:r>
        <w:rPr>
          <w:rFonts w:ascii="仿宋_GB2312" w:eastAsia="仿宋_GB2312" w:cs="仿宋_GB2312" w:hint="eastAsia"/>
          <w:bCs/>
          <w:snapToGrid w:val="0"/>
          <w:spacing w:val="1"/>
        </w:rPr>
        <w:t>点；“十三五”末服务业增加</w:t>
      </w:r>
      <w:r>
        <w:rPr>
          <w:rFonts w:eastAsia="仿宋_GB2312"/>
          <w:bCs/>
          <w:snapToGrid w:val="0"/>
          <w:spacing w:val="1"/>
        </w:rPr>
        <w:t>值占</w:t>
      </w:r>
      <w:r>
        <w:rPr>
          <w:rFonts w:eastAsia="仿宋_GB2312"/>
          <w:bCs/>
          <w:snapToGrid w:val="0"/>
          <w:spacing w:val="1"/>
        </w:rPr>
        <w:t>GDP</w:t>
      </w:r>
      <w:r>
        <w:rPr>
          <w:rFonts w:eastAsia="仿宋_GB2312"/>
          <w:bCs/>
          <w:snapToGrid w:val="0"/>
          <w:spacing w:val="1"/>
        </w:rPr>
        <w:t>比重为</w:t>
      </w:r>
      <w:r>
        <w:rPr>
          <w:rFonts w:eastAsia="仿宋_GB2312"/>
          <w:bCs/>
          <w:snapToGrid w:val="0"/>
          <w:spacing w:val="1"/>
        </w:rPr>
        <w:t>43.7%</w:t>
      </w:r>
      <w:r>
        <w:rPr>
          <w:rFonts w:eastAsia="仿宋_GB2312"/>
          <w:bCs/>
          <w:snapToGrid w:val="0"/>
          <w:spacing w:val="1"/>
        </w:rPr>
        <w:t>，</w:t>
      </w:r>
      <w:r>
        <w:rPr>
          <w:rFonts w:eastAsia="仿宋_GB2312"/>
          <w:kern w:val="0"/>
        </w:rPr>
        <w:t>较</w:t>
      </w:r>
      <w:r>
        <w:rPr>
          <w:rFonts w:ascii="仿宋" w:hAnsi="仿宋" w:cs="仿宋" w:hint="eastAsia"/>
          <w:kern w:val="0"/>
        </w:rPr>
        <w:t>“十二五”末</w:t>
      </w:r>
      <w:r>
        <w:rPr>
          <w:rFonts w:eastAsia="仿宋_GB2312"/>
          <w:kern w:val="0"/>
        </w:rPr>
        <w:t>提高</w:t>
      </w:r>
      <w:r>
        <w:rPr>
          <w:rFonts w:eastAsia="仿宋_GB2312"/>
          <w:kern w:val="0"/>
        </w:rPr>
        <w:t>8</w:t>
      </w:r>
      <w:r>
        <w:rPr>
          <w:rFonts w:eastAsia="仿宋_GB2312"/>
          <w:kern w:val="0"/>
        </w:rPr>
        <w:t>个百分点，增加值</w:t>
      </w:r>
      <w:r>
        <w:t>居全省第</w:t>
      </w:r>
      <w:r>
        <w:t>3</w:t>
      </w:r>
      <w:r>
        <w:t>位。总</w:t>
      </w:r>
      <w:r>
        <w:rPr>
          <w:rFonts w:hint="eastAsia"/>
        </w:rPr>
        <w:t>体来看，莆田市服务业仍处于发展阶段，有较大的提升空间。</w:t>
      </w:r>
    </w:p>
    <w:p w:rsidR="000816CE" w:rsidRDefault="00FC7BEB" w:rsidP="006C0D30">
      <w:pPr>
        <w:pStyle w:val="3"/>
        <w:spacing w:before="156" w:after="156"/>
        <w:ind w:firstLine="640"/>
        <w:rPr>
          <w:rFonts w:hint="default"/>
        </w:rPr>
      </w:pPr>
      <w:r>
        <w:t>2.</w:t>
      </w:r>
      <w:r>
        <w:t>服务业内部结构亟需优化</w:t>
      </w:r>
    </w:p>
    <w:p w:rsidR="000816CE" w:rsidRDefault="00FC7BEB">
      <w:pPr>
        <w:ind w:firstLine="644"/>
        <w:rPr>
          <w:rFonts w:ascii="仿宋_GB2312" w:eastAsia="仿宋_GB2312" w:cs="仿宋_GB2312"/>
          <w:b/>
          <w:snapToGrid w:val="0"/>
          <w:spacing w:val="1"/>
        </w:rPr>
      </w:pPr>
      <w:r>
        <w:rPr>
          <w:rFonts w:ascii="仿宋_GB2312" w:eastAsia="仿宋_GB2312" w:cs="仿宋_GB2312" w:hint="eastAsia"/>
          <w:snapToGrid w:val="0"/>
          <w:spacing w:val="1"/>
        </w:rPr>
        <w:t>莆田市服务业发展总体层次不高，从现代服务业产业结构来看，传统服务业比重较高，新兴服务业比重偏低。传统服务业如交通运输、仓储和邮政业、批发和零售业、住宿和餐饮业、房地产业等占第三产业增加值比</w:t>
      </w:r>
      <w:r>
        <w:rPr>
          <w:rFonts w:eastAsia="仿宋_GB2312"/>
          <w:snapToGrid w:val="0"/>
          <w:spacing w:val="1"/>
        </w:rPr>
        <w:t>重达</w:t>
      </w:r>
      <w:r>
        <w:rPr>
          <w:rFonts w:eastAsia="仿宋_GB2312"/>
          <w:snapToGrid w:val="0"/>
          <w:spacing w:val="1"/>
        </w:rPr>
        <w:t>52%</w:t>
      </w:r>
      <w:r>
        <w:rPr>
          <w:rFonts w:eastAsia="仿宋_GB2312"/>
          <w:snapToGrid w:val="0"/>
          <w:spacing w:val="1"/>
        </w:rPr>
        <w:t>。新兴服务业</w:t>
      </w:r>
      <w:r>
        <w:rPr>
          <w:rFonts w:eastAsia="仿宋_GB2312" w:hint="eastAsia"/>
          <w:snapToGrid w:val="0"/>
          <w:spacing w:val="1"/>
        </w:rPr>
        <w:t>中</w:t>
      </w:r>
      <w:r>
        <w:rPr>
          <w:rFonts w:eastAsia="仿宋_GB2312"/>
          <w:snapToGrid w:val="0"/>
          <w:spacing w:val="1"/>
        </w:rPr>
        <w:t>如现代物流、科技服务、商务服务等生产性服务业发展相对滞后</w:t>
      </w:r>
      <w:r>
        <w:rPr>
          <w:rFonts w:ascii="仿宋_GB2312" w:eastAsia="仿宋_GB2312" w:cs="仿宋_GB2312" w:hint="eastAsia"/>
          <w:snapToGrid w:val="0"/>
          <w:spacing w:val="1"/>
        </w:rPr>
        <w:t>，规模不大；</w:t>
      </w:r>
      <w:r>
        <w:rPr>
          <w:rFonts w:ascii="仿宋_GB2312" w:eastAsia="仿宋_GB2312" w:cs="仿宋_GB2312" w:hint="eastAsia"/>
          <w:snapToGrid w:val="0"/>
          <w:spacing w:val="1"/>
        </w:rPr>
        <w:lastRenderedPageBreak/>
        <w:t>文化创意、研发设计等起步较晚、质态不高，尚处于培育期。</w:t>
      </w:r>
    </w:p>
    <w:p w:rsidR="000816CE" w:rsidRDefault="00FC7BEB" w:rsidP="006C0D30">
      <w:pPr>
        <w:pStyle w:val="3"/>
        <w:spacing w:before="156" w:after="156"/>
        <w:ind w:firstLine="640"/>
        <w:rPr>
          <w:rFonts w:ascii="仿宋_GB2312" w:eastAsia="仿宋_GB2312" w:cs="仿宋_GB2312" w:hint="default"/>
          <w:snapToGrid w:val="0"/>
          <w:spacing w:val="1"/>
        </w:rPr>
      </w:pPr>
      <w:r>
        <w:t>3.</w:t>
      </w:r>
      <w:r>
        <w:t>服务业集约化水平低，企业规模偏小</w:t>
      </w:r>
    </w:p>
    <w:p w:rsidR="000816CE" w:rsidRDefault="00FC7BEB">
      <w:pPr>
        <w:ind w:firstLine="644"/>
        <w:rPr>
          <w:rFonts w:eastAsia="仿宋_GB2312"/>
          <w:b/>
          <w:snapToGrid w:val="0"/>
          <w:spacing w:val="1"/>
        </w:rPr>
      </w:pPr>
      <w:r>
        <w:rPr>
          <w:rFonts w:ascii="仿宋_GB2312" w:eastAsia="仿宋_GB2312" w:cs="仿宋_GB2312" w:hint="eastAsia"/>
          <w:snapToGrid w:val="0"/>
          <w:spacing w:val="1"/>
        </w:rPr>
        <w:t>莆田市目前服务业集中、集约、集聚发展水平不高，影响力大、关联度高、带动作用强的旗舰型龙头企业相对较少。服务业上规模上档次企业不多，造成企业在转型升级、自主创新过程中面临缺少资金和人才等问题，企业整体规模与实力不强造成服务业对外辐射能力偏弱，服务业需求大</w:t>
      </w:r>
      <w:r>
        <w:rPr>
          <w:rFonts w:eastAsia="仿宋_GB2312"/>
          <w:snapToGrid w:val="0"/>
          <w:spacing w:val="1"/>
        </w:rPr>
        <w:t>量外流。</w:t>
      </w:r>
      <w:r>
        <w:rPr>
          <w:rFonts w:eastAsia="仿宋_GB2312"/>
          <w:snapToGrid w:val="0"/>
          <w:spacing w:val="1"/>
        </w:rPr>
        <w:t>2020</w:t>
      </w:r>
      <w:r>
        <w:rPr>
          <w:rFonts w:eastAsia="仿宋_GB2312"/>
          <w:snapToGrid w:val="0"/>
          <w:spacing w:val="1"/>
        </w:rPr>
        <w:t>年，全市服务业市场主体达</w:t>
      </w:r>
      <w:r>
        <w:rPr>
          <w:rFonts w:eastAsia="仿宋_GB2312"/>
          <w:snapToGrid w:val="0"/>
          <w:spacing w:val="1"/>
        </w:rPr>
        <w:t>45.9</w:t>
      </w:r>
      <w:r>
        <w:rPr>
          <w:rFonts w:eastAsia="仿宋_GB2312"/>
          <w:snapToGrid w:val="0"/>
          <w:spacing w:val="1"/>
        </w:rPr>
        <w:t>万户，但个体户占</w:t>
      </w:r>
      <w:r>
        <w:rPr>
          <w:rFonts w:eastAsia="仿宋_GB2312"/>
          <w:snapToGrid w:val="0"/>
          <w:spacing w:val="1"/>
        </w:rPr>
        <w:t>82.7%</w:t>
      </w:r>
      <w:r>
        <w:rPr>
          <w:rFonts w:eastAsia="仿宋_GB2312"/>
          <w:snapToGrid w:val="0"/>
          <w:spacing w:val="1"/>
        </w:rPr>
        <w:t>，作为企业登记仅</w:t>
      </w:r>
      <w:r>
        <w:rPr>
          <w:rFonts w:eastAsia="仿宋_GB2312"/>
          <w:snapToGrid w:val="0"/>
          <w:spacing w:val="1"/>
        </w:rPr>
        <w:t>17.3%</w:t>
      </w:r>
      <w:r>
        <w:rPr>
          <w:rFonts w:eastAsia="仿宋_GB2312"/>
          <w:snapToGrid w:val="0"/>
          <w:spacing w:val="1"/>
        </w:rPr>
        <w:t>，全市限上商贸企业和规上服务业企业仅</w:t>
      </w:r>
      <w:r>
        <w:rPr>
          <w:rFonts w:eastAsia="仿宋_GB2312"/>
          <w:snapToGrid w:val="0"/>
          <w:spacing w:val="1"/>
        </w:rPr>
        <w:t>2047</w:t>
      </w:r>
      <w:r>
        <w:rPr>
          <w:rFonts w:eastAsia="仿宋_GB2312"/>
          <w:snapToGrid w:val="0"/>
          <w:spacing w:val="1"/>
        </w:rPr>
        <w:t>家，比重仅占第三产业企业数的</w:t>
      </w:r>
      <w:r>
        <w:rPr>
          <w:rFonts w:eastAsia="仿宋_GB2312"/>
          <w:snapToGrid w:val="0"/>
          <w:spacing w:val="1"/>
        </w:rPr>
        <w:t>2.6%</w:t>
      </w:r>
      <w:r>
        <w:rPr>
          <w:rFonts w:eastAsia="仿宋_GB2312"/>
          <w:snapToGrid w:val="0"/>
          <w:spacing w:val="1"/>
        </w:rPr>
        <w:t>。全市规上服务业企业共</w:t>
      </w:r>
      <w:r>
        <w:rPr>
          <w:rFonts w:eastAsia="仿宋_GB2312"/>
          <w:snapToGrid w:val="0"/>
          <w:spacing w:val="1"/>
        </w:rPr>
        <w:t>368</w:t>
      </w:r>
      <w:r>
        <w:rPr>
          <w:rFonts w:eastAsia="仿宋_GB2312"/>
          <w:snapToGrid w:val="0"/>
          <w:spacing w:val="1"/>
        </w:rPr>
        <w:t>家，</w:t>
      </w:r>
      <w:r>
        <w:rPr>
          <w:rFonts w:eastAsia="仿宋_GB2312"/>
          <w:snapToGrid w:val="0"/>
          <w:spacing w:val="1"/>
        </w:rPr>
        <w:t>2020</w:t>
      </w:r>
      <w:r>
        <w:rPr>
          <w:rFonts w:eastAsia="仿宋_GB2312"/>
          <w:snapToGrid w:val="0"/>
          <w:spacing w:val="1"/>
        </w:rPr>
        <w:t>年实现营业收入</w:t>
      </w:r>
      <w:r>
        <w:rPr>
          <w:rFonts w:eastAsia="仿宋_GB2312"/>
          <w:snapToGrid w:val="0"/>
          <w:spacing w:val="1"/>
        </w:rPr>
        <w:t>283.09</w:t>
      </w:r>
      <w:r>
        <w:rPr>
          <w:rFonts w:eastAsia="仿宋_GB2312"/>
          <w:snapToGrid w:val="0"/>
          <w:spacing w:val="1"/>
        </w:rPr>
        <w:t>亿元，仅占全省</w:t>
      </w:r>
      <w:r>
        <w:rPr>
          <w:rFonts w:eastAsia="仿宋_GB2312"/>
          <w:snapToGrid w:val="0"/>
          <w:spacing w:val="1"/>
        </w:rPr>
        <w:t>的</w:t>
      </w:r>
      <w:r>
        <w:rPr>
          <w:rFonts w:eastAsia="仿宋_GB2312"/>
          <w:snapToGrid w:val="0"/>
          <w:spacing w:val="1"/>
        </w:rPr>
        <w:t>5.2%</w:t>
      </w:r>
      <w:r>
        <w:rPr>
          <w:rFonts w:eastAsia="仿宋_GB2312"/>
          <w:snapToGrid w:val="0"/>
          <w:spacing w:val="1"/>
        </w:rPr>
        <w:t>。</w:t>
      </w:r>
    </w:p>
    <w:p w:rsidR="000816CE" w:rsidRDefault="00FC7BEB" w:rsidP="006C0D30">
      <w:pPr>
        <w:pStyle w:val="3"/>
        <w:spacing w:before="156" w:after="156"/>
        <w:ind w:firstLine="640"/>
        <w:rPr>
          <w:rFonts w:hint="default"/>
        </w:rPr>
      </w:pPr>
      <w:r>
        <w:t>4.</w:t>
      </w:r>
      <w:r>
        <w:t>服务业精准政策瓶颈亟待破除</w:t>
      </w:r>
    </w:p>
    <w:p w:rsidR="000816CE" w:rsidRDefault="00FC7BEB">
      <w:pPr>
        <w:ind w:firstLine="644"/>
        <w:rPr>
          <w:rFonts w:ascii="仿宋_GB2312" w:eastAsia="仿宋_GB2312" w:cs="仿宋_GB2312"/>
          <w:bCs/>
          <w:snapToGrid w:val="0"/>
          <w:spacing w:val="1"/>
        </w:rPr>
      </w:pPr>
      <w:r>
        <w:rPr>
          <w:rFonts w:ascii="仿宋_GB2312" w:eastAsia="仿宋_GB2312" w:cs="仿宋_GB2312" w:hint="eastAsia"/>
          <w:bCs/>
          <w:snapToGrid w:val="0"/>
          <w:spacing w:val="1"/>
        </w:rPr>
        <w:t>目前，莆田市暂无统一的现代服务业发展扶持措施，现代服务业发展缺乏精准的政策扶持措施。</w:t>
      </w:r>
      <w:r>
        <w:rPr>
          <w:rFonts w:eastAsia="仿宋_GB2312"/>
          <w:bCs/>
          <w:snapToGrid w:val="0"/>
          <w:spacing w:val="1"/>
        </w:rPr>
        <w:t>市级</w:t>
      </w:r>
      <w:r>
        <w:rPr>
          <w:rFonts w:eastAsia="仿宋_GB2312"/>
          <w:bCs/>
          <w:snapToGrid w:val="0"/>
          <w:spacing w:val="1"/>
        </w:rPr>
        <w:t>2019</w:t>
      </w:r>
      <w:r>
        <w:rPr>
          <w:rFonts w:eastAsia="仿宋_GB2312"/>
          <w:bCs/>
          <w:snapToGrid w:val="0"/>
          <w:spacing w:val="1"/>
        </w:rPr>
        <w:t>年草拟的《</w:t>
      </w:r>
      <w:r>
        <w:rPr>
          <w:rFonts w:ascii="仿宋_GB2312" w:eastAsia="仿宋_GB2312" w:cs="仿宋_GB2312" w:hint="eastAsia"/>
          <w:bCs/>
          <w:snapToGrid w:val="0"/>
          <w:spacing w:val="1"/>
        </w:rPr>
        <w:t>莆田市人民政府关于进一步加快服务业提升发展十条措施》因财政资金原因未能出台。精准政策这一发展要素的制约日益突出，瓶颈亟待破除。</w:t>
      </w:r>
    </w:p>
    <w:p w:rsidR="000816CE" w:rsidRDefault="00FC7BEB" w:rsidP="006C0D30">
      <w:pPr>
        <w:pStyle w:val="3"/>
        <w:spacing w:before="156" w:after="156"/>
        <w:ind w:firstLine="640"/>
        <w:rPr>
          <w:rFonts w:hint="default"/>
          <w:snapToGrid w:val="0"/>
        </w:rPr>
      </w:pPr>
      <w:r>
        <w:rPr>
          <w:snapToGrid w:val="0"/>
        </w:rPr>
        <w:t>5.</w:t>
      </w:r>
      <w:r>
        <w:rPr>
          <w:snapToGrid w:val="0"/>
        </w:rPr>
        <w:t>服务业高端技术人才匮乏</w:t>
      </w:r>
    </w:p>
    <w:p w:rsidR="000816CE" w:rsidRDefault="00FC7BEB">
      <w:pPr>
        <w:ind w:firstLine="644"/>
      </w:pPr>
      <w:r>
        <w:rPr>
          <w:rFonts w:ascii="仿宋_GB2312" w:eastAsia="仿宋_GB2312" w:cs="仿宋_GB2312" w:hint="eastAsia"/>
          <w:bCs/>
          <w:snapToGrid w:val="0"/>
          <w:spacing w:val="1"/>
        </w:rPr>
        <w:t>现代服务业相较于传统服务业，对人才的需求更大、要求更高。受莆田市城市发展环境、产业升级空间、对外开放程度等诸</w:t>
      </w:r>
      <w:r>
        <w:rPr>
          <w:rFonts w:ascii="仿宋_GB2312" w:eastAsia="仿宋_GB2312" w:cs="仿宋_GB2312" w:hint="eastAsia"/>
          <w:bCs/>
          <w:snapToGrid w:val="0"/>
          <w:spacing w:val="1"/>
        </w:rPr>
        <w:lastRenderedPageBreak/>
        <w:t>多因素制约，高端技术人才顾虑于自身学习上升空间受限而不愿来莆工作，本地高端技术人才多选择在大城市</w:t>
      </w:r>
      <w:r>
        <w:rPr>
          <w:rFonts w:ascii="仿宋_GB2312" w:eastAsia="仿宋_GB2312" w:cs="仿宋_GB2312" w:hint="eastAsia"/>
          <w:bCs/>
          <w:snapToGrid w:val="0"/>
          <w:spacing w:val="1"/>
        </w:rPr>
        <w:t>发展，造成莆田市人才引进难、流出多，高层次人才和技能型人才与需求相比均存在短缺，直接制约莆田市现代服务业的发展。</w:t>
      </w:r>
    </w:p>
    <w:p w:rsidR="000816CE" w:rsidRDefault="00FC7BEB" w:rsidP="006C0D30">
      <w:pPr>
        <w:pStyle w:val="2"/>
        <w:spacing w:before="156" w:after="156"/>
        <w:ind w:firstLine="640"/>
        <w:rPr>
          <w:rFonts w:eastAsia="仿宋" w:hint="default"/>
        </w:rPr>
      </w:pPr>
      <w:bookmarkStart w:id="5" w:name="_Toc854"/>
      <w:r>
        <w:t>（三）发展形势</w:t>
      </w:r>
      <w:bookmarkEnd w:id="5"/>
      <w:r>
        <w:t xml:space="preserve">    </w:t>
      </w:r>
    </w:p>
    <w:p w:rsidR="000816CE" w:rsidRDefault="00FC7BEB">
      <w:pPr>
        <w:ind w:firstLine="644"/>
        <w:rPr>
          <w:rFonts w:ascii="仿宋_GB2312" w:eastAsia="仿宋_GB2312" w:cs="仿宋_GB2312"/>
          <w:bCs/>
          <w:snapToGrid w:val="0"/>
          <w:spacing w:val="1"/>
        </w:rPr>
      </w:pPr>
      <w:r>
        <w:rPr>
          <w:rFonts w:ascii="仿宋_GB2312" w:eastAsia="仿宋_GB2312" w:cs="仿宋_GB2312" w:hint="eastAsia"/>
          <w:bCs/>
          <w:snapToGrid w:val="0"/>
          <w:spacing w:val="1"/>
        </w:rPr>
        <w:t>“十四五”时期，服务业发展面临的国际、国内形势将更加复杂，有利不利因素相互交织，机遇与挑战并存。莆田地处福建中部，是承接厦门、福州以及海西地区先进制造业和服务业转移的重要节点，工业化、城市化进程将进一步加快，在提升先进制造业发展水平的同时，打造服务业高地，是发挥区位优势、增强综合服务功能、提升城市竞争力的必然选择。莆田素有“海滨邹鲁”、“文献名邦”之美称，是妈祖文化发祥地</w:t>
      </w:r>
      <w:r>
        <w:rPr>
          <w:rFonts w:ascii="仿宋_GB2312" w:eastAsia="仿宋_GB2312" w:cs="仿宋_GB2312" w:hint="eastAsia"/>
          <w:bCs/>
          <w:snapToGrid w:val="0"/>
          <w:spacing w:val="1"/>
        </w:rPr>
        <w:t>，是海上丝绸之路建设核心区，是妈祖文化圈带动旅游品牌和经济社会全面发展升级的关键和重点区域。</w:t>
      </w:r>
    </w:p>
    <w:p w:rsidR="000816CE" w:rsidRDefault="00FC7BEB">
      <w:pPr>
        <w:ind w:firstLine="643"/>
        <w:rPr>
          <w:rFonts w:ascii="仿宋_GB2312" w:eastAsia="仿宋_GB2312" w:cs="仿宋_GB2312"/>
          <w:bCs/>
          <w:snapToGrid w:val="0"/>
          <w:spacing w:val="1"/>
        </w:rPr>
      </w:pPr>
      <w:r>
        <w:rPr>
          <w:rFonts w:eastAsia="仿宋_GB2312" w:hint="eastAsia"/>
          <w:b/>
          <w:color w:val="000000" w:themeColor="text1"/>
        </w:rPr>
        <w:t>从国际看，</w:t>
      </w:r>
      <w:r>
        <w:rPr>
          <w:rFonts w:ascii="仿宋_GB2312" w:eastAsia="仿宋_GB2312" w:cs="仿宋_GB2312" w:hint="eastAsia"/>
          <w:bCs/>
          <w:snapToGrid w:val="0"/>
          <w:spacing w:val="1"/>
        </w:rPr>
        <w:t>世界正经历“百年未有之大变局”，新冠肺炎疫情全球大流行加速演变，</w:t>
      </w:r>
      <w:r>
        <w:rPr>
          <w:rFonts w:ascii="仿宋_GB2312" w:eastAsia="仿宋_GB2312" w:cs="仿宋_GB2312"/>
          <w:bCs/>
          <w:snapToGrid w:val="0"/>
          <w:spacing w:val="1"/>
        </w:rPr>
        <w:t>中美战略博弈加剧，</w:t>
      </w:r>
      <w:r>
        <w:rPr>
          <w:rFonts w:ascii="仿宋_GB2312" w:eastAsia="仿宋_GB2312" w:cs="仿宋_GB2312" w:hint="eastAsia"/>
          <w:bCs/>
          <w:snapToGrid w:val="0"/>
          <w:spacing w:val="1"/>
        </w:rPr>
        <w:t>保护主义、单边主义上升，世界经济低迷。“一带一路”走深入实，区域全面经济伙伴关系协定</w:t>
      </w:r>
      <w:r>
        <w:rPr>
          <w:rFonts w:eastAsia="仿宋_GB2312"/>
          <w:bCs/>
          <w:snapToGrid w:val="0"/>
          <w:spacing w:val="1"/>
        </w:rPr>
        <w:t>（</w:t>
      </w:r>
      <w:r>
        <w:rPr>
          <w:rFonts w:eastAsia="仿宋_GB2312"/>
          <w:bCs/>
          <w:snapToGrid w:val="0"/>
          <w:spacing w:val="1"/>
        </w:rPr>
        <w:t>RCEP</w:t>
      </w:r>
      <w:r>
        <w:rPr>
          <w:rFonts w:eastAsia="仿宋_GB2312"/>
          <w:bCs/>
          <w:snapToGrid w:val="0"/>
          <w:spacing w:val="1"/>
        </w:rPr>
        <w:t>）等新国际</w:t>
      </w:r>
      <w:r>
        <w:rPr>
          <w:rFonts w:ascii="仿宋_GB2312" w:eastAsia="仿宋_GB2312" w:cs="仿宋_GB2312" w:hint="eastAsia"/>
          <w:bCs/>
          <w:snapToGrid w:val="0"/>
          <w:spacing w:val="1"/>
        </w:rPr>
        <w:t>贸易规则签订，全球治理体系和经贸格局加快重构。国际生产与服务分工格局深度调整，高端服务业竞争更加激烈。服务贸易产值和规模逐步超过传统货物贸易，国际经济进入服务经济时代。新一轮科技革命推动服务网络</w:t>
      </w:r>
      <w:r>
        <w:rPr>
          <w:rFonts w:ascii="仿宋_GB2312" w:eastAsia="仿宋_GB2312" w:cs="仿宋_GB2312" w:hint="eastAsia"/>
          <w:bCs/>
          <w:snapToGrid w:val="0"/>
          <w:spacing w:val="1"/>
        </w:rPr>
        <w:lastRenderedPageBreak/>
        <w:t>化、智慧化、平台化，跨境电商</w:t>
      </w:r>
      <w:r>
        <w:rPr>
          <w:rFonts w:ascii="仿宋_GB2312" w:eastAsia="仿宋_GB2312" w:cs="仿宋_GB2312" w:hint="eastAsia"/>
          <w:bCs/>
          <w:snapToGrid w:val="0"/>
          <w:spacing w:val="1"/>
        </w:rPr>
        <w:t>、互联网医疗、在线教育、远程办公、“云”上展会等新业态新模式快速发展，全球服务数字化时代来临，数字经济展现强大经济韧性。多方面因素对全球服务业发展和国际分工格局产生深远影响。</w:t>
      </w:r>
    </w:p>
    <w:p w:rsidR="000816CE" w:rsidRDefault="00FC7BEB">
      <w:pPr>
        <w:ind w:firstLine="643"/>
        <w:rPr>
          <w:rFonts w:ascii="仿宋_GB2312" w:eastAsia="仿宋_GB2312" w:cs="仿宋_GB2312"/>
          <w:bCs/>
          <w:snapToGrid w:val="0"/>
          <w:spacing w:val="1"/>
        </w:rPr>
      </w:pPr>
      <w:r>
        <w:rPr>
          <w:rFonts w:eastAsia="仿宋_GB2312" w:hint="eastAsia"/>
          <w:b/>
          <w:color w:val="000000" w:themeColor="text1"/>
        </w:rPr>
        <w:t>从国内看，</w:t>
      </w:r>
      <w:r>
        <w:rPr>
          <w:rFonts w:ascii="仿宋_GB2312" w:eastAsia="仿宋_GB2312" w:cs="仿宋_GB2312" w:hint="eastAsia"/>
          <w:bCs/>
          <w:snapToGrid w:val="0"/>
          <w:spacing w:val="1"/>
        </w:rPr>
        <w:t>“十四五”时期是我国开启全面建设社会主义现代化新征程、向第二个百年奋斗目标进军的第一个五年。我国以新发展理念为引领，推动构建“双循环”新发展格局，加快实现经济高质量发展。社会主要矛盾转折性变化，新发展格局加快构建，强大国内市场加速形成，消费将成为拉动经济发展的重要引擎。服务业结构加速优化，生产性服务业向专业化和价值链高端延伸</w:t>
      </w:r>
      <w:r>
        <w:rPr>
          <w:rFonts w:ascii="仿宋_GB2312" w:eastAsia="仿宋_GB2312" w:cs="仿宋_GB2312" w:hint="eastAsia"/>
          <w:bCs/>
          <w:snapToGrid w:val="0"/>
          <w:spacing w:val="1"/>
        </w:rPr>
        <w:t>，生活性服务业向高品质和多样化升级。服务业标准化、品牌化发展的基础性战略性地位显著提升。同时，我国正向高收入国家稳步迈进，将形成全球最大规模的中等收入群体，超大规模市场优势和内需潜力将会被充分激发，现代服务业将迎来新一轮快速发展机遇期。</w:t>
      </w:r>
    </w:p>
    <w:p w:rsidR="000816CE" w:rsidRDefault="00FC7BEB">
      <w:pPr>
        <w:ind w:firstLine="643"/>
        <w:rPr>
          <w:rFonts w:ascii="仿宋_GB2312" w:eastAsia="仿宋_GB2312" w:cs="仿宋_GB2312"/>
          <w:bCs/>
          <w:snapToGrid w:val="0"/>
          <w:spacing w:val="1"/>
        </w:rPr>
      </w:pPr>
      <w:r>
        <w:rPr>
          <w:rFonts w:eastAsia="仿宋_GB2312" w:hint="eastAsia"/>
          <w:b/>
        </w:rPr>
        <w:t>从区域看，</w:t>
      </w:r>
      <w:r>
        <w:rPr>
          <w:rFonts w:eastAsia="仿宋_GB2312" w:hint="eastAsia"/>
          <w:bCs/>
        </w:rPr>
        <w:t>一是</w:t>
      </w:r>
      <w:r>
        <w:rPr>
          <w:rFonts w:ascii="仿宋_GB2312" w:eastAsia="仿宋_GB2312" w:cs="仿宋_GB2312"/>
          <w:bCs/>
          <w:snapToGrid w:val="0"/>
          <w:spacing w:val="1"/>
        </w:rPr>
        <w:t>中央支持福建加快发展。全方位推动高质量发展超越，是以习近平同志为核心的党中央赋予福建的重大历史使命和重大政治责任，是新时代新福建建设的重大历史机遇。把习近平总书记对福建工作的重要指示批示精神落实</w:t>
      </w:r>
      <w:r>
        <w:rPr>
          <w:rFonts w:ascii="仿宋_GB2312" w:eastAsia="仿宋_GB2312" w:cs="仿宋_GB2312" w:hint="eastAsia"/>
          <w:bCs/>
          <w:snapToGrid w:val="0"/>
          <w:spacing w:val="1"/>
        </w:rPr>
        <w:t>、</w:t>
      </w:r>
      <w:r>
        <w:rPr>
          <w:rFonts w:ascii="仿宋_GB2312" w:eastAsia="仿宋_GB2312" w:cs="仿宋_GB2312"/>
          <w:bCs/>
          <w:snapToGrid w:val="0"/>
          <w:spacing w:val="1"/>
        </w:rPr>
        <w:t>落深</w:t>
      </w:r>
      <w:r>
        <w:rPr>
          <w:rFonts w:ascii="仿宋_GB2312" w:eastAsia="仿宋_GB2312" w:cs="仿宋_GB2312" w:hint="eastAsia"/>
          <w:bCs/>
          <w:snapToGrid w:val="0"/>
          <w:spacing w:val="1"/>
        </w:rPr>
        <w:t>、</w:t>
      </w:r>
      <w:r>
        <w:rPr>
          <w:rFonts w:ascii="仿宋_GB2312" w:eastAsia="仿宋_GB2312" w:cs="仿宋_GB2312"/>
          <w:bCs/>
          <w:snapToGrid w:val="0"/>
          <w:spacing w:val="1"/>
        </w:rPr>
        <w:t>落细，将极大推动</w:t>
      </w:r>
      <w:r>
        <w:rPr>
          <w:rFonts w:ascii="仿宋" w:hAnsi="仿宋" w:cs="仿宋" w:hint="eastAsia"/>
          <w:bCs/>
          <w:snapToGrid w:val="0"/>
          <w:spacing w:val="1"/>
        </w:rPr>
        <w:t>“十四五”</w:t>
      </w:r>
      <w:r>
        <w:rPr>
          <w:rFonts w:ascii="仿宋_GB2312" w:eastAsia="仿宋_GB2312" w:cs="仿宋_GB2312"/>
          <w:bCs/>
          <w:snapToGrid w:val="0"/>
          <w:spacing w:val="1"/>
        </w:rPr>
        <w:t>时期我省</w:t>
      </w:r>
      <w:r>
        <w:rPr>
          <w:rFonts w:ascii="仿宋_GB2312" w:eastAsia="仿宋_GB2312" w:cs="仿宋_GB2312" w:hint="eastAsia"/>
          <w:bCs/>
          <w:snapToGrid w:val="0"/>
          <w:spacing w:val="1"/>
        </w:rPr>
        <w:t>以及</w:t>
      </w:r>
      <w:r>
        <w:rPr>
          <w:rFonts w:ascii="仿宋_GB2312" w:eastAsia="仿宋_GB2312" w:cs="仿宋_GB2312"/>
          <w:bCs/>
          <w:snapToGrid w:val="0"/>
          <w:spacing w:val="1"/>
        </w:rPr>
        <w:t>我市经济社会发展再上</w:t>
      </w:r>
      <w:r>
        <w:rPr>
          <w:rFonts w:ascii="仿宋_GB2312" w:eastAsia="仿宋_GB2312" w:cs="仿宋_GB2312"/>
          <w:bCs/>
          <w:snapToGrid w:val="0"/>
          <w:spacing w:val="1"/>
        </w:rPr>
        <w:t>一个台阶，经济、科技实力将加速提升，社会治理将更加有效，人民生活水平将进一步提高。</w:t>
      </w:r>
      <w:r>
        <w:rPr>
          <w:rFonts w:ascii="仿宋_GB2312" w:eastAsia="仿宋_GB2312" w:cs="仿宋_GB2312" w:hint="eastAsia"/>
          <w:bCs/>
          <w:snapToGrid w:val="0"/>
          <w:spacing w:val="1"/>
        </w:rPr>
        <w:t>二是</w:t>
      </w:r>
      <w:r>
        <w:rPr>
          <w:rFonts w:ascii="仿宋_GB2312" w:eastAsia="仿宋_GB2312" w:cs="仿宋_GB2312"/>
          <w:bCs/>
          <w:snapToGrid w:val="0"/>
          <w:spacing w:val="1"/>
        </w:rPr>
        <w:t>政策叠加效应释放更大发展活力。海</w:t>
      </w:r>
      <w:r>
        <w:rPr>
          <w:rFonts w:ascii="仿宋_GB2312" w:eastAsia="仿宋_GB2312" w:cs="仿宋_GB2312"/>
          <w:bCs/>
          <w:snapToGrid w:val="0"/>
          <w:spacing w:val="1"/>
        </w:rPr>
        <w:lastRenderedPageBreak/>
        <w:t>峡两岸生技和医疗健康产业合作区、中国（莆田）跨境电子商务综合试验区、城市智慧汽车基础设施和机制建设试点、国家新型城镇化综合试点等一系列先行先试政策叠加效应的逐步释放，将显著增强莆田发展的内生动力，激发市场活力，加快形成全面发力、多点突破、纵深推进的发展新局面。</w:t>
      </w:r>
    </w:p>
    <w:p w:rsidR="000816CE" w:rsidRDefault="00FC7BEB">
      <w:pPr>
        <w:ind w:firstLine="644"/>
        <w:rPr>
          <w:rFonts w:ascii="仿宋_GB2312" w:eastAsia="仿宋_GB2312" w:cs="仿宋_GB2312"/>
          <w:bCs/>
          <w:snapToGrid w:val="0"/>
          <w:spacing w:val="1"/>
        </w:rPr>
      </w:pPr>
      <w:r>
        <w:rPr>
          <w:rFonts w:eastAsia="仿宋_GB2312"/>
          <w:bCs/>
          <w:snapToGrid w:val="0"/>
          <w:spacing w:val="1"/>
        </w:rPr>
        <w:t>同时，我市发展仍存在一些短板和弱项，产业发展所需资金、人才、技术等要素外流压力进一步加大</w:t>
      </w:r>
      <w:r>
        <w:rPr>
          <w:rFonts w:eastAsia="仿宋_GB2312" w:hint="eastAsia"/>
          <w:bCs/>
          <w:snapToGrid w:val="0"/>
          <w:spacing w:val="1"/>
        </w:rPr>
        <w:t>，</w:t>
      </w:r>
      <w:r>
        <w:rPr>
          <w:rFonts w:ascii="仿宋_GB2312" w:eastAsia="仿宋_GB2312" w:cs="仿宋_GB2312" w:hint="eastAsia"/>
          <w:bCs/>
          <w:snapToGrid w:val="0"/>
          <w:spacing w:val="1"/>
        </w:rPr>
        <w:t>莆田具有全球竞争力和品牌影响力的龙头企业数量不多，现代服务业急需的国际化、高层次、复合型人才队伍不足，整体缺乏足够的市场定价权和标准话语权，国际化程度需要进一步提升。</w:t>
      </w:r>
      <w:r>
        <w:rPr>
          <w:rFonts w:eastAsia="仿宋_GB2312" w:hint="eastAsia"/>
          <w:bCs/>
          <w:snapToGrid w:val="0"/>
          <w:spacing w:val="1"/>
        </w:rPr>
        <w:t>在新时期、新形势下，莆田市亟需</w:t>
      </w:r>
      <w:r>
        <w:rPr>
          <w:rFonts w:ascii="仿宋_GB2312" w:eastAsia="仿宋_GB2312" w:cs="仿宋_GB2312" w:hint="eastAsia"/>
          <w:bCs/>
          <w:snapToGrid w:val="0"/>
          <w:spacing w:val="1"/>
        </w:rPr>
        <w:t>把握战略机遇期的深刻变化，有效地应对各种风险和挑战，</w:t>
      </w:r>
      <w:r>
        <w:rPr>
          <w:rFonts w:eastAsia="仿宋_GB2312" w:hint="eastAsia"/>
          <w:bCs/>
          <w:snapToGrid w:val="0"/>
          <w:spacing w:val="1"/>
        </w:rPr>
        <w:t>加快</w:t>
      </w:r>
      <w:r>
        <w:rPr>
          <w:rFonts w:ascii="仿宋_GB2312" w:eastAsia="仿宋_GB2312" w:cs="仿宋_GB2312" w:hint="eastAsia"/>
          <w:bCs/>
          <w:snapToGrid w:val="0"/>
          <w:spacing w:val="1"/>
        </w:rPr>
        <w:t>推动服务业实现</w:t>
      </w:r>
      <w:r>
        <w:rPr>
          <w:rFonts w:eastAsia="仿宋_GB2312" w:hint="eastAsia"/>
          <w:bCs/>
          <w:snapToGrid w:val="0"/>
          <w:spacing w:val="1"/>
        </w:rPr>
        <w:t>高级化、现代化和</w:t>
      </w:r>
      <w:r>
        <w:rPr>
          <w:rFonts w:ascii="仿宋_GB2312" w:eastAsia="仿宋_GB2312" w:cs="仿宋_GB2312" w:hint="eastAsia"/>
          <w:bCs/>
          <w:snapToGrid w:val="0"/>
          <w:spacing w:val="1"/>
        </w:rPr>
        <w:t>高质量发展，为高水平全面建设社会主义现代化</w:t>
      </w:r>
      <w:r>
        <w:rPr>
          <w:rFonts w:eastAsia="仿宋_GB2312" w:hint="eastAsia"/>
          <w:bCs/>
          <w:snapToGrid w:val="0"/>
          <w:spacing w:val="1"/>
        </w:rPr>
        <w:t>目标</w:t>
      </w:r>
      <w:r>
        <w:rPr>
          <w:rFonts w:ascii="仿宋_GB2312" w:eastAsia="仿宋_GB2312" w:cs="仿宋_GB2312" w:hint="eastAsia"/>
          <w:bCs/>
          <w:snapToGrid w:val="0"/>
          <w:spacing w:val="1"/>
        </w:rPr>
        <w:t>贡献更多力量。</w:t>
      </w:r>
    </w:p>
    <w:p w:rsidR="000816CE" w:rsidRDefault="000816CE">
      <w:pPr>
        <w:pStyle w:val="1"/>
        <w:spacing w:before="156" w:after="156"/>
        <w:sectPr w:rsidR="000816CE">
          <w:pgSz w:w="11906" w:h="16838"/>
          <w:pgMar w:top="1327" w:right="1519" w:bottom="1417" w:left="1463" w:header="851" w:footer="992" w:gutter="0"/>
          <w:cols w:space="720"/>
          <w:docGrid w:type="lines" w:linePitch="312"/>
        </w:sectPr>
      </w:pPr>
    </w:p>
    <w:p w:rsidR="000816CE" w:rsidRDefault="00FC7BEB">
      <w:pPr>
        <w:pStyle w:val="1"/>
        <w:spacing w:before="156" w:after="156"/>
      </w:pPr>
      <w:bookmarkStart w:id="6" w:name="_Toc31622"/>
      <w:r>
        <w:rPr>
          <w:rFonts w:hint="eastAsia"/>
        </w:rPr>
        <w:lastRenderedPageBreak/>
        <w:t>第二章</w:t>
      </w:r>
      <w:r>
        <w:rPr>
          <w:rFonts w:hint="eastAsia"/>
        </w:rPr>
        <w:t xml:space="preserve"> </w:t>
      </w:r>
      <w:r>
        <w:rPr>
          <w:rFonts w:hint="eastAsia"/>
        </w:rPr>
        <w:t>总体要求</w:t>
      </w:r>
      <w:bookmarkEnd w:id="6"/>
    </w:p>
    <w:p w:rsidR="000816CE" w:rsidRDefault="00FC7BEB" w:rsidP="006C0D30">
      <w:pPr>
        <w:pStyle w:val="2"/>
        <w:spacing w:before="156" w:after="156"/>
        <w:ind w:firstLine="640"/>
        <w:rPr>
          <w:rFonts w:eastAsia="仿宋" w:hint="default"/>
        </w:rPr>
      </w:pPr>
      <w:bookmarkStart w:id="7" w:name="_Toc31950"/>
      <w:r>
        <w:t>（一）指导思想</w:t>
      </w:r>
      <w:bookmarkEnd w:id="7"/>
      <w:r>
        <w:t xml:space="preserve">  </w:t>
      </w:r>
    </w:p>
    <w:p w:rsidR="000816CE" w:rsidRDefault="00FC7BEB">
      <w:pPr>
        <w:ind w:firstLine="640"/>
        <w:rPr>
          <w:rFonts w:ascii="仿宋" w:hAnsi="仿宋" w:cs="仿宋"/>
          <w:bCs/>
          <w:color w:val="000000" w:themeColor="text1"/>
        </w:rPr>
      </w:pPr>
      <w:r>
        <w:t>以习近平新时代中国特色社会主义思想为指导，深入贯彻党的十九大和十九届</w:t>
      </w:r>
      <w:r>
        <w:rPr>
          <w:rFonts w:hint="eastAsia"/>
        </w:rPr>
        <w:t>二中、</w:t>
      </w:r>
      <w:r>
        <w:t>三中、四中、</w:t>
      </w:r>
      <w:r>
        <w:t>五中全会精神，坚持创新、协调、绿色、开放、共享发展理念，</w:t>
      </w:r>
      <w:r>
        <w:rPr>
          <w:rFonts w:hint="eastAsia"/>
        </w:rPr>
        <w:t>抢抓科技革命、产业变革、消费升级发展新机遇，加快业态创新、模式创新、服务创新，全面提升现代服务业质量和效益。</w:t>
      </w:r>
      <w:r>
        <w:t>以供给侧结构性改革为主线，聚力打好产业基础高级化、产业链现代化攻坚战</w:t>
      </w:r>
      <w:r>
        <w:rPr>
          <w:rFonts w:hint="eastAsia"/>
        </w:rPr>
        <w:t>。推动莆田生产性服务业向社会化、专业化和高端化延伸，生活性服务业向便利化、精细化和品质化转变，推进现代服务业集聚发展，与一二产业深度融合，促进全市产业高质量转型升级。</w:t>
      </w:r>
    </w:p>
    <w:p w:rsidR="000816CE" w:rsidRDefault="00FC7BEB" w:rsidP="006C0D30">
      <w:pPr>
        <w:pStyle w:val="2"/>
        <w:spacing w:before="156" w:after="156"/>
        <w:ind w:firstLine="640"/>
        <w:rPr>
          <w:rFonts w:eastAsia="仿宋" w:hint="default"/>
        </w:rPr>
      </w:pPr>
      <w:bookmarkStart w:id="8" w:name="_Toc25056"/>
      <w:r>
        <w:t>（二）发展原则</w:t>
      </w:r>
      <w:bookmarkEnd w:id="8"/>
      <w:r>
        <w:t xml:space="preserve">   </w:t>
      </w:r>
    </w:p>
    <w:p w:rsidR="000816CE" w:rsidRDefault="00FC7BEB" w:rsidP="006C0D30">
      <w:pPr>
        <w:ind w:firstLine="640"/>
        <w:jc w:val="left"/>
      </w:pPr>
      <w:r>
        <w:rPr>
          <w:b/>
          <w:bCs/>
        </w:rPr>
        <w:t>——</w:t>
      </w:r>
      <w:r>
        <w:rPr>
          <w:b/>
          <w:bCs/>
        </w:rPr>
        <w:t>强化基础，</w:t>
      </w:r>
      <w:r>
        <w:rPr>
          <w:rFonts w:hint="eastAsia"/>
          <w:b/>
          <w:bCs/>
        </w:rPr>
        <w:t>转型升级</w:t>
      </w:r>
      <w:r>
        <w:rPr>
          <w:b/>
          <w:bCs/>
        </w:rPr>
        <w:t>。</w:t>
      </w:r>
      <w:r>
        <w:t>重点攻克</w:t>
      </w:r>
      <w:r>
        <w:rPr>
          <w:rFonts w:hint="eastAsia"/>
        </w:rPr>
        <w:t>莆田市现代服务业发展相对滞后，现代物流、金融、科技和咨询服</w:t>
      </w:r>
      <w:r>
        <w:rPr>
          <w:rFonts w:hint="eastAsia"/>
        </w:rPr>
        <w:t>务等生产性服务业规模较小，知识密集型的高端服务业尤为薄弱</w:t>
      </w:r>
      <w:r>
        <w:t>的问题</w:t>
      </w:r>
      <w:r>
        <w:rPr>
          <w:rFonts w:hint="eastAsia"/>
        </w:rPr>
        <w:t>，探索莆田现代服务业向数字化、网络化、智能化转型。</w:t>
      </w:r>
    </w:p>
    <w:p w:rsidR="000816CE" w:rsidRDefault="00FC7BEB" w:rsidP="006C0D30">
      <w:pPr>
        <w:ind w:firstLine="640"/>
        <w:jc w:val="left"/>
      </w:pPr>
      <w:r>
        <w:rPr>
          <w:b/>
          <w:bCs/>
        </w:rPr>
        <w:lastRenderedPageBreak/>
        <w:t>——</w:t>
      </w:r>
      <w:r>
        <w:rPr>
          <w:rFonts w:hint="eastAsia"/>
          <w:b/>
          <w:bCs/>
        </w:rPr>
        <w:t>优化服务</w:t>
      </w:r>
      <w:r>
        <w:rPr>
          <w:b/>
          <w:bCs/>
        </w:rPr>
        <w:t>，</w:t>
      </w:r>
      <w:r>
        <w:rPr>
          <w:rFonts w:hint="eastAsia"/>
          <w:b/>
          <w:bCs/>
        </w:rPr>
        <w:t>加强配套</w:t>
      </w:r>
      <w:r>
        <w:rPr>
          <w:b/>
          <w:bCs/>
        </w:rPr>
        <w:t>。</w:t>
      </w:r>
      <w:r>
        <w:t>发挥社会化配套服务企业功能，着重培育和引进</w:t>
      </w:r>
      <w:r>
        <w:rPr>
          <w:rFonts w:hint="eastAsia"/>
        </w:rPr>
        <w:t>现代服务业</w:t>
      </w:r>
      <w:r>
        <w:t>配套机构。积极发展引进财务管理、投资运营管理、商务、中介服务、金融服务等新兴业态，提升</w:t>
      </w:r>
      <w:r>
        <w:rPr>
          <w:rFonts w:hint="eastAsia"/>
        </w:rPr>
        <w:t>服务业</w:t>
      </w:r>
      <w:r>
        <w:t>经济运营管理水平。</w:t>
      </w:r>
    </w:p>
    <w:p w:rsidR="000816CE" w:rsidRDefault="00FC7BEB" w:rsidP="006C0D30">
      <w:pPr>
        <w:ind w:firstLine="640"/>
        <w:jc w:val="left"/>
      </w:pPr>
      <w:r>
        <w:rPr>
          <w:b/>
          <w:bCs/>
        </w:rPr>
        <w:t>——</w:t>
      </w:r>
      <w:r>
        <w:rPr>
          <w:rFonts w:hint="eastAsia"/>
          <w:b/>
          <w:bCs/>
        </w:rPr>
        <w:t>创新引领，集聚发展。</w:t>
      </w:r>
      <w:r>
        <w:rPr>
          <w:rFonts w:hint="eastAsia"/>
        </w:rPr>
        <w:t>以创新引领产业发展，激发市场活力，进一步优化制约现代服务业发展的体制机制障碍。依托龙头企业的带动作用，进一步提高现代服务业的产业集聚度，提升产业规模，实现城市资源配置的最优化发展。</w:t>
      </w:r>
    </w:p>
    <w:p w:rsidR="000816CE" w:rsidRDefault="00FC7BEB" w:rsidP="006C0D30">
      <w:pPr>
        <w:ind w:firstLine="640"/>
        <w:jc w:val="left"/>
      </w:pPr>
      <w:r>
        <w:rPr>
          <w:b/>
          <w:bCs/>
        </w:rPr>
        <w:t>——</w:t>
      </w:r>
      <w:r>
        <w:rPr>
          <w:b/>
          <w:bCs/>
        </w:rPr>
        <w:t>突出重点，</w:t>
      </w:r>
      <w:r>
        <w:rPr>
          <w:rFonts w:hint="eastAsia"/>
          <w:b/>
          <w:bCs/>
        </w:rPr>
        <w:t>开放招商</w:t>
      </w:r>
      <w:r>
        <w:rPr>
          <w:b/>
          <w:bCs/>
        </w:rPr>
        <w:t>。</w:t>
      </w:r>
      <w:r>
        <w:rPr>
          <w:rFonts w:hint="eastAsia"/>
        </w:rPr>
        <w:t>认真贯彻落实“突出开放招商，</w:t>
      </w:r>
      <w:r>
        <w:t>强化项目带</w:t>
      </w:r>
      <w:r>
        <w:rPr>
          <w:rFonts w:ascii="仿宋" w:hAnsi="仿宋" w:cs="仿宋" w:hint="eastAsia"/>
        </w:rPr>
        <w:t>动”</w:t>
      </w:r>
      <w:r>
        <w:t>的总体部署，持续加大现代服务业招商力度。</w:t>
      </w:r>
      <w:r>
        <w:rPr>
          <w:rFonts w:hint="eastAsia"/>
        </w:rPr>
        <w:t>围绕“</w:t>
      </w:r>
      <w:r>
        <w:t>343</w:t>
      </w:r>
      <w:r>
        <w:rPr>
          <w:rFonts w:ascii="仿宋" w:hAnsi="仿宋" w:cs="仿宋" w:hint="eastAsia"/>
        </w:rPr>
        <w:t>”</w:t>
      </w:r>
      <w:r>
        <w:t>产业</w:t>
      </w:r>
      <w:r>
        <w:rPr>
          <w:rFonts w:hint="eastAsia"/>
        </w:rPr>
        <w:t>布局</w:t>
      </w:r>
      <w:r>
        <w:t>，重点吸引世界</w:t>
      </w:r>
      <w:r>
        <w:t>500</w:t>
      </w:r>
      <w:r>
        <w:t>强、全球行业龙头企业和细分市场的领先企业，</w:t>
      </w:r>
      <w:r>
        <w:rPr>
          <w:rFonts w:hint="eastAsia"/>
        </w:rPr>
        <w:t>培育发展新兴服务业，大力发展电商新业态</w:t>
      </w:r>
      <w:r>
        <w:t>。</w:t>
      </w:r>
    </w:p>
    <w:p w:rsidR="000816CE" w:rsidRDefault="00FC7BEB" w:rsidP="006C0D30">
      <w:pPr>
        <w:ind w:firstLine="640"/>
      </w:pPr>
      <w:r>
        <w:rPr>
          <w:b/>
          <w:bCs/>
        </w:rPr>
        <w:t>——</w:t>
      </w:r>
      <w:r>
        <w:rPr>
          <w:rFonts w:hint="eastAsia"/>
          <w:b/>
          <w:bCs/>
        </w:rPr>
        <w:t>开放合作，携手共赢。</w:t>
      </w:r>
      <w:r>
        <w:rPr>
          <w:rFonts w:hint="eastAsia"/>
        </w:rPr>
        <w:t>对接国际先进标准，提高产业发展水平，推进区域产业分工对接，提高协作发展水平，扩大开放合作的示范功能，积极主动对接全球人才、科技、资本等创新资源，强化国际规则对接，服务全球市场，推动形成全面开放新格</w:t>
      </w:r>
      <w:r>
        <w:rPr>
          <w:rFonts w:hint="eastAsia"/>
        </w:rPr>
        <w:lastRenderedPageBreak/>
        <w:t>局，在更高层次参与国际经济合作和竞争。</w:t>
      </w:r>
    </w:p>
    <w:p w:rsidR="000816CE" w:rsidRDefault="00FC7BEB">
      <w:pPr>
        <w:ind w:firstLine="640"/>
      </w:pPr>
      <w:r>
        <w:rPr>
          <w:rFonts w:hint="eastAsia"/>
        </w:rPr>
        <w:br w:type="page"/>
      </w:r>
    </w:p>
    <w:p w:rsidR="000816CE" w:rsidRDefault="00FC7BEB" w:rsidP="006C0D30">
      <w:pPr>
        <w:pStyle w:val="2"/>
        <w:spacing w:before="156" w:after="156"/>
        <w:ind w:firstLine="640"/>
        <w:rPr>
          <w:rFonts w:eastAsia="仿宋" w:hint="default"/>
        </w:rPr>
      </w:pPr>
      <w:bookmarkStart w:id="9" w:name="_Toc17560"/>
      <w:r>
        <w:lastRenderedPageBreak/>
        <w:t>（三）发展目标</w:t>
      </w:r>
      <w:bookmarkEnd w:id="9"/>
      <w:r>
        <w:t xml:space="preserve">    </w:t>
      </w:r>
    </w:p>
    <w:p w:rsidR="000816CE" w:rsidRDefault="00FC7BEB">
      <w:pPr>
        <w:ind w:firstLineChars="0" w:firstLine="0"/>
        <w:jc w:val="center"/>
      </w:pPr>
      <w:bookmarkStart w:id="10" w:name="_Toc16534"/>
      <w:r>
        <w:rPr>
          <w:rFonts w:hint="eastAsia"/>
          <w:b/>
          <w:bCs/>
        </w:rPr>
        <w:t>“十四五”时期莆田市服务业发展主要指标</w:t>
      </w:r>
      <w:bookmarkEnd w:id="10"/>
    </w:p>
    <w:tbl>
      <w:tblPr>
        <w:tblW w:w="8639" w:type="dxa"/>
        <w:tblInd w:w="93" w:type="dxa"/>
        <w:tblLayout w:type="fixed"/>
        <w:tblLook w:val="04A0"/>
      </w:tblPr>
      <w:tblGrid>
        <w:gridCol w:w="723"/>
        <w:gridCol w:w="704"/>
        <w:gridCol w:w="2981"/>
        <w:gridCol w:w="741"/>
        <w:gridCol w:w="1106"/>
        <w:gridCol w:w="1153"/>
        <w:gridCol w:w="1231"/>
      </w:tblGrid>
      <w:tr w:rsidR="000816CE">
        <w:trPr>
          <w:trHeight w:val="330"/>
        </w:trPr>
        <w:tc>
          <w:tcPr>
            <w:tcW w:w="723" w:type="dxa"/>
            <w:vMerge w:val="restart"/>
            <w:tcBorders>
              <w:top w:val="single" w:sz="8" w:space="0" w:color="auto"/>
              <w:left w:val="single" w:sz="8" w:space="0" w:color="auto"/>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bCs/>
                <w:color w:val="000000"/>
                <w:kern w:val="0"/>
                <w:sz w:val="24"/>
                <w:szCs w:val="24"/>
              </w:rPr>
            </w:pPr>
            <w:r>
              <w:rPr>
                <w:rFonts w:ascii="仿宋" w:hAnsi="仿宋" w:cs="宋体" w:hint="eastAsia"/>
                <w:b/>
                <w:bCs/>
                <w:color w:val="000000"/>
                <w:kern w:val="0"/>
                <w:sz w:val="24"/>
                <w:szCs w:val="24"/>
              </w:rPr>
              <w:t>类别</w:t>
            </w:r>
          </w:p>
        </w:tc>
        <w:tc>
          <w:tcPr>
            <w:tcW w:w="704" w:type="dxa"/>
            <w:vMerge w:val="restart"/>
            <w:tcBorders>
              <w:top w:val="single" w:sz="8" w:space="0" w:color="auto"/>
              <w:left w:val="single" w:sz="4" w:space="0" w:color="auto"/>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bCs/>
                <w:color w:val="000000"/>
                <w:kern w:val="0"/>
                <w:sz w:val="24"/>
                <w:szCs w:val="24"/>
              </w:rPr>
            </w:pPr>
            <w:r>
              <w:rPr>
                <w:rFonts w:ascii="仿宋" w:hAnsi="仿宋" w:cs="宋体" w:hint="eastAsia"/>
                <w:b/>
                <w:bCs/>
                <w:color w:val="000000"/>
                <w:kern w:val="0"/>
                <w:sz w:val="24"/>
                <w:szCs w:val="24"/>
              </w:rPr>
              <w:t>序号</w:t>
            </w:r>
          </w:p>
        </w:tc>
        <w:tc>
          <w:tcPr>
            <w:tcW w:w="2981" w:type="dxa"/>
            <w:vMerge w:val="restart"/>
            <w:tcBorders>
              <w:top w:val="single" w:sz="8" w:space="0" w:color="auto"/>
              <w:left w:val="single" w:sz="4" w:space="0" w:color="auto"/>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bCs/>
                <w:color w:val="000000"/>
                <w:kern w:val="0"/>
                <w:sz w:val="24"/>
                <w:szCs w:val="24"/>
              </w:rPr>
            </w:pPr>
            <w:r>
              <w:rPr>
                <w:rFonts w:ascii="仿宋" w:hAnsi="仿宋" w:cs="宋体" w:hint="eastAsia"/>
                <w:b/>
                <w:bCs/>
                <w:color w:val="000000"/>
                <w:kern w:val="0"/>
                <w:sz w:val="24"/>
                <w:szCs w:val="24"/>
              </w:rPr>
              <w:t>发展指标</w:t>
            </w:r>
          </w:p>
        </w:tc>
        <w:tc>
          <w:tcPr>
            <w:tcW w:w="741" w:type="dxa"/>
            <w:vMerge w:val="restart"/>
            <w:tcBorders>
              <w:top w:val="single" w:sz="8" w:space="0" w:color="auto"/>
              <w:left w:val="single" w:sz="4" w:space="0" w:color="auto"/>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bCs/>
                <w:color w:val="000000"/>
                <w:kern w:val="0"/>
                <w:sz w:val="24"/>
                <w:szCs w:val="24"/>
              </w:rPr>
            </w:pPr>
            <w:r>
              <w:rPr>
                <w:rFonts w:ascii="仿宋" w:hAnsi="仿宋" w:cs="宋体" w:hint="eastAsia"/>
                <w:b/>
                <w:bCs/>
                <w:color w:val="000000"/>
                <w:kern w:val="0"/>
                <w:sz w:val="24"/>
                <w:szCs w:val="24"/>
              </w:rPr>
              <w:t>单位</w:t>
            </w:r>
          </w:p>
        </w:tc>
        <w:tc>
          <w:tcPr>
            <w:tcW w:w="1106" w:type="dxa"/>
            <w:tcBorders>
              <w:top w:val="single" w:sz="8" w:space="0" w:color="auto"/>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bCs/>
                <w:color w:val="000000"/>
                <w:kern w:val="0"/>
                <w:sz w:val="24"/>
                <w:szCs w:val="24"/>
              </w:rPr>
            </w:pPr>
            <w:r>
              <w:rPr>
                <w:rFonts w:ascii="仿宋" w:hAnsi="仿宋" w:cs="宋体" w:hint="eastAsia"/>
                <w:b/>
                <w:bCs/>
                <w:color w:val="000000"/>
                <w:kern w:val="0"/>
                <w:sz w:val="24"/>
                <w:szCs w:val="24"/>
              </w:rPr>
              <w:t>现状</w:t>
            </w:r>
          </w:p>
        </w:tc>
        <w:tc>
          <w:tcPr>
            <w:tcW w:w="2384" w:type="dxa"/>
            <w:gridSpan w:val="2"/>
            <w:tcBorders>
              <w:top w:val="single" w:sz="8" w:space="0" w:color="auto"/>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bCs/>
                <w:color w:val="000000"/>
                <w:kern w:val="0"/>
                <w:sz w:val="24"/>
                <w:szCs w:val="24"/>
              </w:rPr>
            </w:pPr>
            <w:r>
              <w:rPr>
                <w:rFonts w:ascii="仿宋" w:hAnsi="仿宋" w:cs="宋体" w:hint="eastAsia"/>
                <w:b/>
                <w:bCs/>
                <w:color w:val="000000"/>
                <w:kern w:val="0"/>
                <w:sz w:val="24"/>
                <w:szCs w:val="24"/>
              </w:rPr>
              <w:t>规划目标</w:t>
            </w:r>
          </w:p>
        </w:tc>
      </w:tr>
      <w:tr w:rsidR="000816CE">
        <w:trPr>
          <w:trHeight w:val="640"/>
        </w:trPr>
        <w:tc>
          <w:tcPr>
            <w:tcW w:w="723" w:type="dxa"/>
            <w:vMerge/>
            <w:tcBorders>
              <w:top w:val="single" w:sz="8" w:space="0" w:color="auto"/>
              <w:left w:val="single" w:sz="8" w:space="0" w:color="auto"/>
              <w:bottom w:val="single" w:sz="4" w:space="0" w:color="auto"/>
              <w:right w:val="single" w:sz="4" w:space="0" w:color="auto"/>
            </w:tcBorders>
            <w:vAlign w:val="center"/>
          </w:tcPr>
          <w:p w:rsidR="000816CE" w:rsidRDefault="000816CE">
            <w:pPr>
              <w:widowControl/>
              <w:spacing w:line="240" w:lineRule="auto"/>
              <w:ind w:firstLineChars="0" w:firstLine="0"/>
              <w:jc w:val="left"/>
              <w:rPr>
                <w:rFonts w:ascii="仿宋" w:hAnsi="仿宋" w:cs="宋体"/>
                <w:b/>
                <w:bCs/>
                <w:color w:val="000000"/>
                <w:kern w:val="0"/>
                <w:sz w:val="24"/>
                <w:szCs w:val="24"/>
              </w:rPr>
            </w:pPr>
          </w:p>
        </w:tc>
        <w:tc>
          <w:tcPr>
            <w:tcW w:w="704" w:type="dxa"/>
            <w:vMerge/>
            <w:tcBorders>
              <w:top w:val="single" w:sz="8" w:space="0" w:color="auto"/>
              <w:left w:val="single" w:sz="4" w:space="0" w:color="auto"/>
              <w:bottom w:val="single" w:sz="4" w:space="0" w:color="auto"/>
              <w:right w:val="single" w:sz="4" w:space="0" w:color="auto"/>
            </w:tcBorders>
            <w:vAlign w:val="center"/>
          </w:tcPr>
          <w:p w:rsidR="000816CE" w:rsidRDefault="000816CE">
            <w:pPr>
              <w:widowControl/>
              <w:spacing w:line="240" w:lineRule="auto"/>
              <w:ind w:firstLineChars="0" w:firstLine="0"/>
              <w:jc w:val="left"/>
              <w:rPr>
                <w:rFonts w:ascii="仿宋" w:hAnsi="仿宋" w:cs="宋体"/>
                <w:b/>
                <w:bCs/>
                <w:color w:val="000000"/>
                <w:kern w:val="0"/>
                <w:sz w:val="24"/>
                <w:szCs w:val="24"/>
              </w:rPr>
            </w:pPr>
          </w:p>
        </w:tc>
        <w:tc>
          <w:tcPr>
            <w:tcW w:w="2981" w:type="dxa"/>
            <w:vMerge/>
            <w:tcBorders>
              <w:top w:val="single" w:sz="8" w:space="0" w:color="auto"/>
              <w:left w:val="single" w:sz="4" w:space="0" w:color="auto"/>
              <w:bottom w:val="single" w:sz="4" w:space="0" w:color="auto"/>
              <w:right w:val="single" w:sz="4" w:space="0" w:color="auto"/>
            </w:tcBorders>
            <w:vAlign w:val="center"/>
          </w:tcPr>
          <w:p w:rsidR="000816CE" w:rsidRDefault="000816CE">
            <w:pPr>
              <w:widowControl/>
              <w:spacing w:line="240" w:lineRule="auto"/>
              <w:ind w:firstLineChars="0" w:firstLine="0"/>
              <w:jc w:val="left"/>
              <w:rPr>
                <w:rFonts w:ascii="仿宋" w:hAnsi="仿宋" w:cs="宋体"/>
                <w:b/>
                <w:bCs/>
                <w:color w:val="000000"/>
                <w:kern w:val="0"/>
                <w:sz w:val="24"/>
                <w:szCs w:val="24"/>
              </w:rPr>
            </w:pPr>
          </w:p>
        </w:tc>
        <w:tc>
          <w:tcPr>
            <w:tcW w:w="741" w:type="dxa"/>
            <w:vMerge/>
            <w:tcBorders>
              <w:top w:val="single" w:sz="8" w:space="0" w:color="auto"/>
              <w:left w:val="single" w:sz="4" w:space="0" w:color="auto"/>
              <w:bottom w:val="single" w:sz="4" w:space="0" w:color="auto"/>
              <w:right w:val="single" w:sz="4" w:space="0" w:color="auto"/>
            </w:tcBorders>
            <w:vAlign w:val="center"/>
          </w:tcPr>
          <w:p w:rsidR="000816CE" w:rsidRDefault="000816CE">
            <w:pPr>
              <w:widowControl/>
              <w:spacing w:line="240" w:lineRule="auto"/>
              <w:ind w:firstLineChars="0" w:firstLine="0"/>
              <w:jc w:val="left"/>
              <w:rPr>
                <w:rFonts w:ascii="仿宋" w:hAnsi="仿宋" w:cs="宋体"/>
                <w:b/>
                <w:bCs/>
                <w:color w:val="000000"/>
                <w:kern w:val="0"/>
                <w:sz w:val="24"/>
                <w:szCs w:val="24"/>
              </w:rPr>
            </w:pPr>
          </w:p>
        </w:tc>
        <w:tc>
          <w:tcPr>
            <w:tcW w:w="1106" w:type="dxa"/>
            <w:tcBorders>
              <w:top w:val="nil"/>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bCs/>
                <w:color w:val="000000"/>
                <w:kern w:val="0"/>
                <w:sz w:val="24"/>
                <w:szCs w:val="24"/>
              </w:rPr>
            </w:pPr>
            <w:r>
              <w:rPr>
                <w:rFonts w:ascii="仿宋" w:hAnsi="仿宋" w:cs="宋体" w:hint="eastAsia"/>
                <w:b/>
                <w:bCs/>
                <w:color w:val="000000"/>
                <w:kern w:val="0"/>
                <w:sz w:val="24"/>
                <w:szCs w:val="24"/>
              </w:rPr>
              <w:t>2020</w:t>
            </w:r>
            <w:r>
              <w:rPr>
                <w:rFonts w:ascii="仿宋" w:hAnsi="仿宋" w:cs="宋体" w:hint="eastAsia"/>
                <w:b/>
                <w:bCs/>
                <w:color w:val="000000"/>
                <w:kern w:val="0"/>
                <w:sz w:val="24"/>
                <w:szCs w:val="24"/>
              </w:rPr>
              <w:t>年</w:t>
            </w:r>
          </w:p>
        </w:tc>
        <w:tc>
          <w:tcPr>
            <w:tcW w:w="1153" w:type="dxa"/>
            <w:tcBorders>
              <w:top w:val="nil"/>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bCs/>
                <w:color w:val="000000"/>
                <w:kern w:val="0"/>
                <w:sz w:val="24"/>
                <w:szCs w:val="24"/>
              </w:rPr>
            </w:pPr>
            <w:r>
              <w:rPr>
                <w:rFonts w:ascii="仿宋" w:hAnsi="仿宋" w:cs="宋体" w:hint="eastAsia"/>
                <w:b/>
                <w:bCs/>
                <w:color w:val="000000"/>
                <w:kern w:val="0"/>
                <w:sz w:val="24"/>
                <w:szCs w:val="24"/>
              </w:rPr>
              <w:t>2025</w:t>
            </w:r>
            <w:r>
              <w:rPr>
                <w:rFonts w:ascii="仿宋" w:hAnsi="仿宋" w:cs="宋体" w:hint="eastAsia"/>
                <w:b/>
                <w:bCs/>
                <w:color w:val="000000"/>
                <w:kern w:val="0"/>
                <w:sz w:val="24"/>
                <w:szCs w:val="24"/>
              </w:rPr>
              <w:t>年</w:t>
            </w:r>
          </w:p>
        </w:tc>
        <w:tc>
          <w:tcPr>
            <w:tcW w:w="1231" w:type="dxa"/>
            <w:tcBorders>
              <w:top w:val="nil"/>
              <w:left w:val="nil"/>
              <w:bottom w:val="single" w:sz="4" w:space="0" w:color="auto"/>
              <w:right w:val="single" w:sz="4" w:space="0" w:color="auto"/>
            </w:tcBorders>
            <w:shd w:val="clear" w:color="000000" w:fill="DAEEF3"/>
            <w:noWrap/>
            <w:vAlign w:val="center"/>
          </w:tcPr>
          <w:p w:rsidR="000816CE" w:rsidRDefault="00FC7BEB">
            <w:pPr>
              <w:widowControl/>
              <w:spacing w:line="240" w:lineRule="auto"/>
              <w:ind w:firstLineChars="0" w:firstLine="0"/>
              <w:jc w:val="center"/>
              <w:rPr>
                <w:rFonts w:ascii="仿宋" w:hAnsi="仿宋" w:cs="宋体"/>
                <w:b/>
                <w:bCs/>
                <w:color w:val="000000"/>
                <w:kern w:val="0"/>
                <w:sz w:val="24"/>
                <w:szCs w:val="24"/>
              </w:rPr>
            </w:pPr>
            <w:r>
              <w:rPr>
                <w:rFonts w:ascii="仿宋" w:hAnsi="仿宋" w:cs="宋体" w:hint="eastAsia"/>
                <w:b/>
                <w:bCs/>
                <w:color w:val="000000"/>
                <w:kern w:val="0"/>
                <w:sz w:val="24"/>
                <w:szCs w:val="24"/>
              </w:rPr>
              <w:t>年均增长</w:t>
            </w:r>
            <w:r>
              <w:rPr>
                <w:rFonts w:ascii="仿宋" w:hAnsi="仿宋" w:cs="宋体" w:hint="eastAsia"/>
                <w:b/>
                <w:bCs/>
                <w:color w:val="000000"/>
                <w:kern w:val="0"/>
                <w:sz w:val="24"/>
                <w:szCs w:val="24"/>
              </w:rPr>
              <w:br/>
              <w:t>[</w:t>
            </w:r>
            <w:r>
              <w:rPr>
                <w:rFonts w:ascii="仿宋" w:hAnsi="仿宋" w:cs="宋体" w:hint="eastAsia"/>
                <w:b/>
                <w:bCs/>
                <w:color w:val="000000"/>
                <w:kern w:val="0"/>
                <w:sz w:val="24"/>
                <w:szCs w:val="24"/>
              </w:rPr>
              <w:t>累计</w:t>
            </w:r>
            <w:r>
              <w:rPr>
                <w:rFonts w:ascii="仿宋" w:hAnsi="仿宋" w:cs="宋体" w:hint="eastAsia"/>
                <w:b/>
                <w:bCs/>
                <w:color w:val="000000"/>
                <w:kern w:val="0"/>
                <w:sz w:val="24"/>
                <w:szCs w:val="24"/>
              </w:rPr>
              <w:t>]</w:t>
            </w:r>
          </w:p>
        </w:tc>
      </w:tr>
      <w:tr w:rsidR="000816CE">
        <w:trPr>
          <w:trHeight w:val="397"/>
        </w:trPr>
        <w:tc>
          <w:tcPr>
            <w:tcW w:w="723" w:type="dxa"/>
            <w:vMerge w:val="restart"/>
            <w:tcBorders>
              <w:top w:val="nil"/>
              <w:left w:val="single" w:sz="8" w:space="0" w:color="auto"/>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总体指标</w:t>
            </w: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服务业增加值</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1156.0</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2000</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11.6%</w:t>
            </w:r>
          </w:p>
        </w:tc>
      </w:tr>
      <w:tr w:rsidR="000816CE">
        <w:trPr>
          <w:trHeight w:val="397"/>
        </w:trPr>
        <w:tc>
          <w:tcPr>
            <w:tcW w:w="723" w:type="dxa"/>
            <w:vMerge/>
            <w:tcBorders>
              <w:top w:val="nil"/>
              <w:left w:val="single" w:sz="8" w:space="0" w:color="auto"/>
              <w:bottom w:val="single" w:sz="4" w:space="0" w:color="auto"/>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rPr>
                <w:rFonts w:ascii="仿宋" w:hAnsi="仿宋" w:cs="宋体"/>
                <w:color w:val="000000"/>
                <w:kern w:val="0"/>
                <w:sz w:val="24"/>
                <w:szCs w:val="24"/>
              </w:rPr>
            </w:pPr>
            <w:r>
              <w:rPr>
                <w:rFonts w:ascii="仿宋" w:hAnsi="仿宋" w:cs="宋体" w:hint="eastAsia"/>
                <w:color w:val="000000"/>
                <w:kern w:val="0"/>
                <w:sz w:val="24"/>
                <w:szCs w:val="24"/>
              </w:rPr>
              <w:t>服务业增加值占</w:t>
            </w:r>
            <w:r>
              <w:rPr>
                <w:rFonts w:ascii="仿宋" w:hAnsi="仿宋" w:cs="宋体" w:hint="eastAsia"/>
                <w:color w:val="000000"/>
                <w:kern w:val="0"/>
                <w:sz w:val="24"/>
                <w:szCs w:val="24"/>
              </w:rPr>
              <w:t>GDP</w:t>
            </w:r>
            <w:r>
              <w:rPr>
                <w:rFonts w:ascii="仿宋" w:hAnsi="仿宋" w:cs="宋体" w:hint="eastAsia"/>
                <w:color w:val="000000"/>
                <w:kern w:val="0"/>
                <w:sz w:val="24"/>
                <w:szCs w:val="24"/>
              </w:rPr>
              <w:t>比重</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43.7%</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48.5%</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[4.8]</w:t>
            </w:r>
          </w:p>
        </w:tc>
      </w:tr>
      <w:tr w:rsidR="000816CE">
        <w:trPr>
          <w:trHeight w:val="397"/>
        </w:trPr>
        <w:tc>
          <w:tcPr>
            <w:tcW w:w="723" w:type="dxa"/>
            <w:vMerge w:val="restart"/>
            <w:tcBorders>
              <w:top w:val="nil"/>
              <w:left w:val="single" w:sz="8" w:space="0" w:color="auto"/>
              <w:bottom w:val="single" w:sz="8" w:space="0" w:color="000000"/>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重点行业指标</w:t>
            </w: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社会消费品零售总额</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1612.26</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2200</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6.4%</w:t>
            </w:r>
            <w:r>
              <w:rPr>
                <w:rFonts w:ascii="仿宋" w:hAnsi="仿宋" w:cs="宋体" w:hint="eastAsia"/>
                <w:color w:val="000000"/>
                <w:kern w:val="0"/>
                <w:sz w:val="24"/>
                <w:szCs w:val="24"/>
              </w:rPr>
              <w:br/>
              <w:t>[587.74]</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货运量</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万吨</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5314</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6700</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港口货物吞吐量</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万吨</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4681</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9400</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15%</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快递业务量</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万件</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2325.58</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4100</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12.0%</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7</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外贸进出口总额</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628</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640</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[12]</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8</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限上电商企业网络零售额</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261</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525</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15.0%</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9</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金融业增加值</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144.92</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300</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15.7%</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10</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金融机构本外币存款余额</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2317.49</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3000</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5.3%</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11</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金融机构本外币贷款余额</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2210.81</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3000</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6.3%</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12</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旅游收入</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270.12</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435</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10.0%</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13</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商品房销售面积</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万平</w:t>
            </w:r>
            <w:r>
              <w:rPr>
                <w:rFonts w:ascii="仿宋" w:hAnsi="仿宋" w:cs="宋体" w:hint="eastAsia"/>
                <w:color w:val="000000"/>
                <w:kern w:val="0"/>
                <w:sz w:val="24"/>
                <w:szCs w:val="24"/>
              </w:rPr>
              <w:br/>
            </w:r>
            <w:r>
              <w:rPr>
                <w:rFonts w:ascii="仿宋" w:hAnsi="仿宋" w:cs="宋体" w:hint="eastAsia"/>
                <w:color w:val="000000"/>
                <w:kern w:val="0"/>
                <w:sz w:val="24"/>
                <w:szCs w:val="24"/>
              </w:rPr>
              <w:t>方米</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426.37</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2000</w:t>
            </w:r>
            <w:r>
              <w:rPr>
                <w:rFonts w:ascii="仿宋" w:hAnsi="仿宋" w:cs="宋体" w:hint="eastAsia"/>
                <w:color w:val="000000"/>
                <w:kern w:val="0"/>
                <w:sz w:val="24"/>
                <w:szCs w:val="24"/>
              </w:rPr>
              <w:br/>
              <w:t>[</w:t>
            </w:r>
            <w:r>
              <w:rPr>
                <w:rFonts w:ascii="仿宋" w:hAnsi="仿宋" w:cs="宋体" w:hint="eastAsia"/>
                <w:color w:val="000000"/>
                <w:kern w:val="0"/>
                <w:sz w:val="24"/>
                <w:szCs w:val="24"/>
              </w:rPr>
              <w:t>十四五共计</w:t>
            </w:r>
            <w:r>
              <w:rPr>
                <w:rFonts w:ascii="仿宋" w:hAnsi="仿宋" w:cs="宋体" w:hint="eastAsia"/>
                <w:color w:val="000000"/>
                <w:kern w:val="0"/>
                <w:sz w:val="24"/>
                <w:szCs w:val="24"/>
              </w:rPr>
              <w:t>]</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14</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每千人口医疗机构床位数</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张</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5.5</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6.2</w:t>
            </w:r>
          </w:p>
        </w:tc>
        <w:tc>
          <w:tcPr>
            <w:tcW w:w="1231" w:type="dxa"/>
            <w:tcBorders>
              <w:top w:val="nil"/>
              <w:left w:val="nil"/>
              <w:bottom w:val="single" w:sz="4" w:space="0" w:color="auto"/>
              <w:right w:val="single" w:sz="4" w:space="0" w:color="auto"/>
            </w:tcBorders>
            <w:shd w:val="clear" w:color="auto" w:fill="auto"/>
            <w:vAlign w:val="bottom"/>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2.4%</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15</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每千人口执业（助理）医师数</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人</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2.06</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3.1</w:t>
            </w:r>
          </w:p>
        </w:tc>
        <w:tc>
          <w:tcPr>
            <w:tcW w:w="1231" w:type="dxa"/>
            <w:tcBorders>
              <w:top w:val="nil"/>
              <w:left w:val="nil"/>
              <w:bottom w:val="single" w:sz="4" w:space="0" w:color="auto"/>
              <w:right w:val="single" w:sz="4" w:space="0" w:color="auto"/>
            </w:tcBorders>
            <w:shd w:val="clear" w:color="auto" w:fill="auto"/>
            <w:vAlign w:val="bottom"/>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8.5%</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16</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每千人口注册护士数</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人</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2.49</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3.5</w:t>
            </w:r>
          </w:p>
        </w:tc>
        <w:tc>
          <w:tcPr>
            <w:tcW w:w="1231" w:type="dxa"/>
            <w:tcBorders>
              <w:top w:val="nil"/>
              <w:left w:val="nil"/>
              <w:bottom w:val="single" w:sz="4" w:space="0" w:color="auto"/>
              <w:right w:val="single" w:sz="4" w:space="0" w:color="auto"/>
            </w:tcBorders>
            <w:shd w:val="clear" w:color="auto" w:fill="auto"/>
            <w:vAlign w:val="bottom"/>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7.0%</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17</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人均预期寿命</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岁</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80.42</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80</w:t>
            </w:r>
            <w:r>
              <w:rPr>
                <w:rFonts w:ascii="仿宋" w:hAnsi="仿宋" w:cs="宋体" w:hint="eastAsia"/>
                <w:color w:val="000000"/>
                <w:kern w:val="0"/>
                <w:sz w:val="24"/>
                <w:szCs w:val="24"/>
              </w:rPr>
              <w:t>以上</w:t>
            </w:r>
          </w:p>
        </w:tc>
        <w:tc>
          <w:tcPr>
            <w:tcW w:w="1231" w:type="dxa"/>
            <w:tcBorders>
              <w:top w:val="nil"/>
              <w:left w:val="nil"/>
              <w:bottom w:val="single" w:sz="4" w:space="0" w:color="auto"/>
              <w:right w:val="single" w:sz="4" w:space="0" w:color="auto"/>
            </w:tcBorders>
            <w:shd w:val="clear" w:color="auto" w:fill="auto"/>
            <w:vAlign w:val="bottom"/>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18</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国际国内医疗健康旅游人次</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万人</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100</w:t>
            </w:r>
          </w:p>
        </w:tc>
        <w:tc>
          <w:tcPr>
            <w:tcW w:w="1231" w:type="dxa"/>
            <w:tcBorders>
              <w:top w:val="nil"/>
              <w:left w:val="nil"/>
              <w:bottom w:val="single" w:sz="4" w:space="0" w:color="auto"/>
              <w:right w:val="single" w:sz="4" w:space="0" w:color="auto"/>
            </w:tcBorders>
            <w:shd w:val="clear" w:color="auto" w:fill="auto"/>
            <w:vAlign w:val="bottom"/>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19</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健康旅游产业总规模</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1000</w:t>
            </w:r>
          </w:p>
        </w:tc>
        <w:tc>
          <w:tcPr>
            <w:tcW w:w="1231" w:type="dxa"/>
            <w:tcBorders>
              <w:top w:val="nil"/>
              <w:left w:val="nil"/>
              <w:bottom w:val="single" w:sz="4" w:space="0" w:color="auto"/>
              <w:right w:val="single" w:sz="4" w:space="0" w:color="auto"/>
            </w:tcBorders>
            <w:shd w:val="clear" w:color="auto" w:fill="auto"/>
            <w:vAlign w:val="bottom"/>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20</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健康产业总规模</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亿元</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1500</w:t>
            </w:r>
          </w:p>
        </w:tc>
        <w:tc>
          <w:tcPr>
            <w:tcW w:w="1231" w:type="dxa"/>
            <w:tcBorders>
              <w:top w:val="nil"/>
              <w:left w:val="nil"/>
              <w:bottom w:val="single" w:sz="4" w:space="0" w:color="auto"/>
              <w:right w:val="single" w:sz="4" w:space="0" w:color="auto"/>
            </w:tcBorders>
            <w:shd w:val="clear" w:color="auto" w:fill="auto"/>
            <w:vAlign w:val="bottom"/>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21</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全社会研究与试验发展（</w:t>
            </w:r>
            <w:r>
              <w:rPr>
                <w:rFonts w:ascii="仿宋" w:hAnsi="仿宋" w:cs="宋体" w:hint="eastAsia"/>
                <w:color w:val="000000"/>
                <w:kern w:val="0"/>
                <w:sz w:val="24"/>
                <w:szCs w:val="24"/>
              </w:rPr>
              <w:t>R&amp;D</w:t>
            </w:r>
            <w:r>
              <w:rPr>
                <w:rFonts w:ascii="仿宋" w:hAnsi="仿宋" w:cs="宋体" w:hint="eastAsia"/>
                <w:color w:val="000000"/>
                <w:kern w:val="0"/>
                <w:sz w:val="24"/>
                <w:szCs w:val="24"/>
              </w:rPr>
              <w:t>）经费投入增长</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20</w:t>
            </w:r>
            <w:r>
              <w:rPr>
                <w:rFonts w:ascii="仿宋" w:hAnsi="仿宋" w:cs="宋体" w:hint="eastAsia"/>
                <w:color w:val="000000"/>
                <w:kern w:val="0"/>
                <w:sz w:val="24"/>
                <w:szCs w:val="24"/>
              </w:rPr>
              <w:t>以上</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22</w:t>
            </w:r>
          </w:p>
        </w:tc>
        <w:tc>
          <w:tcPr>
            <w:tcW w:w="298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数字经济核心产业增加值占</w:t>
            </w:r>
            <w:r>
              <w:rPr>
                <w:rFonts w:ascii="仿宋" w:hAnsi="仿宋" w:cs="宋体" w:hint="eastAsia"/>
                <w:color w:val="000000"/>
                <w:kern w:val="0"/>
                <w:sz w:val="24"/>
                <w:szCs w:val="24"/>
              </w:rPr>
              <w:t>GDP</w:t>
            </w:r>
            <w:r>
              <w:rPr>
                <w:rFonts w:ascii="仿宋" w:hAnsi="仿宋" w:cs="宋体" w:hint="eastAsia"/>
                <w:color w:val="000000"/>
                <w:kern w:val="0"/>
                <w:sz w:val="24"/>
                <w:szCs w:val="24"/>
              </w:rPr>
              <w:t>比重</w:t>
            </w:r>
          </w:p>
        </w:tc>
        <w:tc>
          <w:tcPr>
            <w:tcW w:w="74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w:t>
            </w:r>
          </w:p>
        </w:tc>
        <w:tc>
          <w:tcPr>
            <w:tcW w:w="1106"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6.1</w:t>
            </w:r>
          </w:p>
        </w:tc>
        <w:tc>
          <w:tcPr>
            <w:tcW w:w="1153"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6.5</w:t>
            </w:r>
          </w:p>
        </w:tc>
        <w:tc>
          <w:tcPr>
            <w:tcW w:w="1231" w:type="dxa"/>
            <w:tcBorders>
              <w:top w:val="nil"/>
              <w:left w:val="nil"/>
              <w:bottom w:val="single" w:sz="4"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1.3%</w:t>
            </w:r>
          </w:p>
        </w:tc>
      </w:tr>
      <w:tr w:rsidR="000816CE">
        <w:trPr>
          <w:trHeight w:val="397"/>
        </w:trPr>
        <w:tc>
          <w:tcPr>
            <w:tcW w:w="723" w:type="dxa"/>
            <w:vMerge/>
            <w:tcBorders>
              <w:top w:val="nil"/>
              <w:left w:val="single" w:sz="8" w:space="0" w:color="auto"/>
              <w:bottom w:val="single" w:sz="8" w:space="0" w:color="000000"/>
              <w:right w:val="single" w:sz="4" w:space="0" w:color="auto"/>
            </w:tcBorders>
            <w:vAlign w:val="center"/>
          </w:tcPr>
          <w:p w:rsidR="000816CE" w:rsidRDefault="000816CE">
            <w:pPr>
              <w:widowControl/>
              <w:adjustRightInd/>
              <w:snapToGrid/>
              <w:spacing w:line="240" w:lineRule="auto"/>
              <w:ind w:firstLineChars="0" w:firstLine="0"/>
              <w:jc w:val="left"/>
              <w:rPr>
                <w:rFonts w:ascii="仿宋" w:hAnsi="仿宋" w:cs="宋体"/>
                <w:color w:val="000000"/>
                <w:kern w:val="0"/>
                <w:sz w:val="24"/>
                <w:szCs w:val="24"/>
              </w:rPr>
            </w:pPr>
          </w:p>
        </w:tc>
        <w:tc>
          <w:tcPr>
            <w:tcW w:w="704" w:type="dxa"/>
            <w:tcBorders>
              <w:top w:val="nil"/>
              <w:left w:val="nil"/>
              <w:bottom w:val="single" w:sz="8"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23</w:t>
            </w:r>
          </w:p>
        </w:tc>
        <w:tc>
          <w:tcPr>
            <w:tcW w:w="2981" w:type="dxa"/>
            <w:tcBorders>
              <w:top w:val="nil"/>
              <w:left w:val="nil"/>
              <w:bottom w:val="single" w:sz="8"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left"/>
              <w:rPr>
                <w:rFonts w:ascii="仿宋" w:hAnsi="仿宋" w:cs="宋体"/>
                <w:color w:val="000000"/>
                <w:kern w:val="0"/>
                <w:sz w:val="24"/>
                <w:szCs w:val="24"/>
              </w:rPr>
            </w:pPr>
            <w:r>
              <w:rPr>
                <w:rFonts w:ascii="仿宋" w:hAnsi="仿宋" w:cs="宋体" w:hint="eastAsia"/>
                <w:color w:val="000000"/>
                <w:kern w:val="0"/>
                <w:sz w:val="24"/>
                <w:szCs w:val="24"/>
              </w:rPr>
              <w:t>国家高新技术企业数</w:t>
            </w:r>
          </w:p>
        </w:tc>
        <w:tc>
          <w:tcPr>
            <w:tcW w:w="741" w:type="dxa"/>
            <w:tcBorders>
              <w:top w:val="nil"/>
              <w:left w:val="nil"/>
              <w:bottom w:val="single" w:sz="8"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家</w:t>
            </w:r>
          </w:p>
        </w:tc>
        <w:tc>
          <w:tcPr>
            <w:tcW w:w="1106" w:type="dxa"/>
            <w:tcBorders>
              <w:top w:val="nil"/>
              <w:left w:val="nil"/>
              <w:bottom w:val="single" w:sz="8"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117</w:t>
            </w:r>
          </w:p>
        </w:tc>
        <w:tc>
          <w:tcPr>
            <w:tcW w:w="1153" w:type="dxa"/>
            <w:tcBorders>
              <w:top w:val="nil"/>
              <w:left w:val="nil"/>
              <w:bottom w:val="single" w:sz="8"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400</w:t>
            </w:r>
          </w:p>
        </w:tc>
        <w:tc>
          <w:tcPr>
            <w:tcW w:w="1231" w:type="dxa"/>
            <w:tcBorders>
              <w:top w:val="nil"/>
              <w:left w:val="nil"/>
              <w:bottom w:val="single" w:sz="8" w:space="0" w:color="auto"/>
              <w:right w:val="single" w:sz="4" w:space="0" w:color="auto"/>
            </w:tcBorders>
            <w:shd w:val="clear" w:color="auto" w:fill="auto"/>
            <w:vAlign w:val="center"/>
          </w:tcPr>
          <w:p w:rsidR="000816CE" w:rsidRDefault="00FC7BEB">
            <w:pPr>
              <w:widowControl/>
              <w:adjustRightInd/>
              <w:snapToGrid/>
              <w:spacing w:line="240" w:lineRule="auto"/>
              <w:ind w:firstLineChars="0" w:firstLine="0"/>
              <w:jc w:val="center"/>
              <w:rPr>
                <w:rFonts w:ascii="仿宋" w:hAnsi="仿宋" w:cs="宋体"/>
                <w:color w:val="000000"/>
                <w:kern w:val="0"/>
                <w:sz w:val="24"/>
                <w:szCs w:val="24"/>
              </w:rPr>
            </w:pPr>
            <w:r>
              <w:rPr>
                <w:rFonts w:ascii="仿宋" w:hAnsi="仿宋" w:cs="宋体" w:hint="eastAsia"/>
                <w:color w:val="000000"/>
                <w:kern w:val="0"/>
                <w:sz w:val="24"/>
                <w:szCs w:val="24"/>
              </w:rPr>
              <w:t>27.9%</w:t>
            </w:r>
          </w:p>
        </w:tc>
      </w:tr>
    </w:tbl>
    <w:p w:rsidR="000816CE" w:rsidRDefault="000816CE">
      <w:pPr>
        <w:pStyle w:val="1"/>
        <w:spacing w:before="156" w:after="156"/>
        <w:jc w:val="both"/>
        <w:sectPr w:rsidR="000816CE">
          <w:pgSz w:w="11906" w:h="16838"/>
          <w:pgMar w:top="1327" w:right="1519" w:bottom="1417" w:left="1463" w:header="851" w:footer="992" w:gutter="0"/>
          <w:cols w:space="720"/>
          <w:docGrid w:type="lines" w:linePitch="312"/>
        </w:sectPr>
      </w:pPr>
    </w:p>
    <w:p w:rsidR="000816CE" w:rsidRDefault="00FC7BEB">
      <w:pPr>
        <w:pStyle w:val="1"/>
        <w:spacing w:before="156" w:after="156"/>
      </w:pPr>
      <w:bookmarkStart w:id="11" w:name="_Toc4697"/>
      <w:r>
        <w:rPr>
          <w:rFonts w:hint="eastAsia"/>
        </w:rPr>
        <w:lastRenderedPageBreak/>
        <w:t>第三章</w:t>
      </w:r>
      <w:r>
        <w:rPr>
          <w:rFonts w:hint="eastAsia"/>
        </w:rPr>
        <w:t xml:space="preserve"> </w:t>
      </w:r>
      <w:r>
        <w:rPr>
          <w:rFonts w:hint="eastAsia"/>
        </w:rPr>
        <w:t>优化服务业空间布局</w:t>
      </w:r>
      <w:bookmarkEnd w:id="11"/>
      <w:r>
        <w:rPr>
          <w:rFonts w:hint="eastAsia"/>
        </w:rPr>
        <w:t xml:space="preserve">  </w:t>
      </w:r>
    </w:p>
    <w:p w:rsidR="000816CE" w:rsidRDefault="00FC7BEB">
      <w:pPr>
        <w:ind w:firstLine="640"/>
      </w:pPr>
      <w:r>
        <w:rPr>
          <w:rFonts w:hint="eastAsia"/>
          <w:color w:val="212529"/>
          <w:shd w:val="clear" w:color="auto" w:fill="FFFFFF"/>
        </w:rPr>
        <w:t>紧紧围绕莆田产业发展定位，秉承“优化空间布局、明确产业定位、创新体制机制”的发展理念，调整优化现代服务业区域功能性布局，引领产业协同高效发展，优化产业空间布局。承接莆田市跨溪南进的发展战略布局，明晰中心城区“北联东拓南进”的发展战略，培育一批具有核心竞争力的现代服务业产业集群和企业群体，走提质增效的发展道路，构建“一核两带多节点”现代服务业空间发展格局。</w:t>
      </w:r>
    </w:p>
    <w:p w:rsidR="000816CE" w:rsidRDefault="00FC7BEB">
      <w:pPr>
        <w:ind w:firstLineChars="0" w:firstLine="0"/>
      </w:pPr>
      <w:r>
        <w:rPr>
          <w:noProof/>
        </w:rPr>
        <w:drawing>
          <wp:inline distT="0" distB="0" distL="0" distR="0">
            <wp:extent cx="5631180" cy="4063365"/>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631180" cy="4063365"/>
                    </a:xfrm>
                    <a:prstGeom prst="rect">
                      <a:avLst/>
                    </a:prstGeom>
                  </pic:spPr>
                </pic:pic>
              </a:graphicData>
            </a:graphic>
          </wp:inline>
        </w:drawing>
      </w:r>
    </w:p>
    <w:p w:rsidR="000816CE" w:rsidRDefault="00FC7BEB" w:rsidP="006C0D30">
      <w:pPr>
        <w:pStyle w:val="2"/>
        <w:spacing w:before="156" w:after="156"/>
        <w:ind w:firstLine="640"/>
        <w:rPr>
          <w:rFonts w:hint="default"/>
        </w:rPr>
      </w:pPr>
      <w:bookmarkStart w:id="12" w:name="_Toc30030"/>
      <w:r>
        <w:rPr>
          <w:rFonts w:hint="default"/>
        </w:rPr>
        <w:lastRenderedPageBreak/>
        <w:t>（一）</w:t>
      </w:r>
      <w:r>
        <w:t>一核引领</w:t>
      </w:r>
      <w:bookmarkEnd w:id="12"/>
    </w:p>
    <w:p w:rsidR="000816CE" w:rsidRDefault="00FC7BEB">
      <w:pPr>
        <w:ind w:firstLine="640"/>
      </w:pPr>
      <w:r>
        <w:rPr>
          <w:rFonts w:hint="eastAsia"/>
        </w:rPr>
        <w:t>即主城区现代服务业核心区，主要位于城厢区和荔城区，是莆田现代服务业的心脏。开发和强化其服务功能，进一步优化服务业行业空间布局，并向仙游县和涵江区扩张拓展。依托中心城区服务业资源优势，着力打造若干个产业集聚、特色突出、功能完善、辐射力强的生产性服务业集聚区，优化生活性服务业空间布局。重点发展金融保险、商务办公、信息咨询服务等高端生产性服务业；大型商场、高级商务酒店、高级娱乐场所等高端生活性服务业；教育机构、文体中心、医疗机构等公共服务业。规划建设“金融商业区”、“商务办公区”、“文化休闲区”等功能分区，促进莆</w:t>
      </w:r>
      <w:r>
        <w:rPr>
          <w:rFonts w:hint="eastAsia"/>
        </w:rPr>
        <w:t>田市高端服务业的发展，提升城市品质和现代化水平。</w:t>
      </w:r>
    </w:p>
    <w:p w:rsidR="000816CE" w:rsidRDefault="00FC7BEB">
      <w:pPr>
        <w:ind w:firstLine="640"/>
      </w:pPr>
      <w:r>
        <w:rPr>
          <w:rFonts w:hint="eastAsia"/>
        </w:rPr>
        <w:t>主城区进一步推动传统工业的退出，大力发展现代服务业和高新产业，提升产业层次，打造繁荣繁华标志区。优化中心城区空间布局，加大亿元楼宇和特色楼宇培育力度，完善信息、交通、休闲、医疗、教育等配套设施，推动中心城区精细化、立体化发展，建设具有国际影响力的、展示城市历史文化底蕴的高端商务</w:t>
      </w:r>
      <w:r>
        <w:rPr>
          <w:rFonts w:hint="eastAsia"/>
        </w:rPr>
        <w:lastRenderedPageBreak/>
        <w:t>区和高品质生活区。基本建成由城厢主城区和荔城主城区共同构成的中心城区核心商务区，集聚金融机构、总部经济、商务中介等高端商务资源。</w:t>
      </w:r>
    </w:p>
    <w:p w:rsidR="000816CE" w:rsidRDefault="00FC7BEB" w:rsidP="006C0D30">
      <w:pPr>
        <w:pStyle w:val="2"/>
        <w:spacing w:before="156" w:after="156"/>
        <w:ind w:firstLine="640"/>
        <w:rPr>
          <w:rFonts w:hint="default"/>
        </w:rPr>
      </w:pPr>
      <w:bookmarkStart w:id="13" w:name="_Toc1895"/>
      <w:r>
        <w:t>（二）两带协同</w:t>
      </w:r>
      <w:bookmarkEnd w:id="13"/>
    </w:p>
    <w:p w:rsidR="000816CE" w:rsidRDefault="00FC7BEB">
      <w:pPr>
        <w:ind w:firstLine="640"/>
      </w:pPr>
      <w:r>
        <w:rPr>
          <w:rFonts w:hint="eastAsia"/>
        </w:rPr>
        <w:t>即妈祖文化服务产业发展带和北部山地服务</w:t>
      </w:r>
      <w:r>
        <w:rPr>
          <w:rFonts w:hint="eastAsia"/>
        </w:rPr>
        <w:t>产业发展带。地理位置上为环莆田市东部沿海的“三湾一屿”港口物流带和自西北向东南斜穿莆田市，西起仙游县菜溪岩（九鲤湖祈梦山水和蔡襄文化观光体验区），中过城厢、荔城、秀屿等零散旅游景区，东至湄洲岛、平海南日岛等海岛风光景区的文化休闲旅游带。</w:t>
      </w:r>
    </w:p>
    <w:p w:rsidR="000816CE" w:rsidRDefault="00FC7BEB" w:rsidP="006C0D30">
      <w:pPr>
        <w:pStyle w:val="3"/>
        <w:spacing w:before="156" w:after="156"/>
        <w:ind w:firstLine="640"/>
        <w:rPr>
          <w:rFonts w:hint="default"/>
        </w:rPr>
      </w:pPr>
      <w:r>
        <w:t>1</w:t>
      </w:r>
      <w:r>
        <w:rPr>
          <w:rFonts w:hint="default"/>
        </w:rPr>
        <w:t>.</w:t>
      </w:r>
      <w:r>
        <w:t>妈祖文化服务产业发展带</w:t>
      </w:r>
    </w:p>
    <w:p w:rsidR="000816CE" w:rsidRDefault="00FC7BEB">
      <w:pPr>
        <w:ind w:firstLineChars="221" w:firstLine="707"/>
      </w:pPr>
      <w:r>
        <w:rPr>
          <w:rFonts w:hint="eastAsia"/>
        </w:rPr>
        <w:t>包括湄洲岛、妈祖城、平海湾片区、南日岛等区域。着力通过发挥妈祖文化的影响力，重点发展妈祖文化旅游业、海洋观光休闲渔业。依托产业发展带和交通枢纽设施，整合空间资源和发展要素，引导优势现代服务产业向相关区域集聚。</w:t>
      </w:r>
    </w:p>
    <w:p w:rsidR="000816CE" w:rsidRDefault="00FC7BEB">
      <w:pPr>
        <w:ind w:firstLine="640"/>
      </w:pPr>
      <w:r>
        <w:rPr>
          <w:rFonts w:hint="eastAsia"/>
        </w:rPr>
        <w:t>其中，妈祖文化休闲旅游区规划范围包括</w:t>
      </w:r>
      <w:r>
        <w:rPr>
          <w:rFonts w:hint="eastAsia"/>
        </w:rPr>
        <w:t>秀屿区西部的筋石镇、忠门半岛、东庄半岛、湄洲岛及其周围海域等片区。该区域</w:t>
      </w:r>
      <w:r>
        <w:rPr>
          <w:rFonts w:hint="eastAsia"/>
        </w:rPr>
        <w:lastRenderedPageBreak/>
        <w:t>定位为莆田旅游业的核心，以此为轴心，以闻名遐迩的妈祖朝圣文化为契机，辐射带动莆田整个旅游业的发展，同时，打造颇具特色的妈祖文化产业群。以妈祖祖庙、妈祖城为核心，有机整合湄洲岛上的妈祖文化大观园、湄屿潮音、牛头尾、九宝澜、鹅尾山和忠门、东庄半岛上的莆禧古城、贤良港天后祖祠、妈祖阁、妈祖公园、滨海新城、湄洲湾港口景观等多元特质景区景点，形成最能代表莆田整体旅游形象的、具有妈祖文化灵魂的文化休闲旅游区，打造独具匠心的妈祖文化旅游圈。平海、南日</w:t>
      </w:r>
      <w:r>
        <w:rPr>
          <w:rFonts w:hint="eastAsia"/>
        </w:rPr>
        <w:t>岛充分利用丰富的海域资源，开发独特的海洋文化，打造度假观光旅游区。规划范围包括秀屿区东部的埭头半岛、南日群岛、兴化湾、平海湾及平海镇、埭头镇、东峤镇和南日镇等海滨镇。打造为莆田最具特色的海滨休闲度假区，主要景区项目包括平海和南日渔家乐、平海度假村南日沙滩旅游度假区、南日和石城风力发电场、南日军事体验区、无人岛探险体验景区、大蜡山景区、中国上塘银饰市场等。</w:t>
      </w:r>
    </w:p>
    <w:p w:rsidR="000816CE" w:rsidRDefault="00FC7BEB" w:rsidP="006C0D30">
      <w:pPr>
        <w:pStyle w:val="3"/>
        <w:spacing w:before="156" w:after="156"/>
        <w:ind w:firstLine="640"/>
        <w:rPr>
          <w:rFonts w:hint="default"/>
        </w:rPr>
      </w:pPr>
      <w:r>
        <w:t>2.</w:t>
      </w:r>
      <w:r>
        <w:t>北部山地服务产业发展带</w:t>
      </w:r>
    </w:p>
    <w:p w:rsidR="000816CE" w:rsidRDefault="00FC7BEB">
      <w:pPr>
        <w:ind w:firstLine="640"/>
        <w:rPr>
          <w:kern w:val="0"/>
        </w:rPr>
      </w:pPr>
      <w:r>
        <w:rPr>
          <w:rFonts w:hint="eastAsia"/>
        </w:rPr>
        <w:lastRenderedPageBreak/>
        <w:t>包括仙游县西苑乡、书峰乡、社硎乡、菜溪乡、石苍乡、钟山镇和游洋镇，城厢区常太镇，涵江区庄边镇、白沙镇、新县镇、萩芦镇和大洋乡，</w:t>
      </w:r>
      <w:r>
        <w:rPr>
          <w:rFonts w:hint="eastAsia"/>
        </w:rPr>
        <w:t>荔城区西天尾镇。重点发展生态观光农业、体验农业、休闲农庄、生态旅游业。</w:t>
      </w:r>
      <w:r>
        <w:rPr>
          <w:rFonts w:hint="eastAsia"/>
          <w:kern w:val="0"/>
        </w:rPr>
        <w:t>构建集综合服务、区域商贸、生活居住、生态休闲、特色旅游为一体的现代服务业发展带。</w:t>
      </w:r>
    </w:p>
    <w:p w:rsidR="000816CE" w:rsidRDefault="00FC7BEB">
      <w:pPr>
        <w:ind w:firstLine="640"/>
      </w:pPr>
      <w:r>
        <w:rPr>
          <w:rFonts w:hint="eastAsia"/>
        </w:rPr>
        <w:t>依托西北部仙游县域旅游区，打造莆田“第二旅游区”的概念，与东南沿海的妈祖文化和滨海旅游区相呼应，形成莆田市旅游产业的另一支柱。该区域主要包括九鲤湖祈梦山水旅游区、蔡襄文化观光体验旅游区、仙游生态休闲体验旅游区。九鲤湖祈梦山水旅游区。以自然山水和祈梦文化、红色旅游相结合为特色，规划范围包括位于仙游县东北部和城厢区西北部的榜头、钟山、游洋、常太等镇。主要景点包括</w:t>
      </w:r>
      <w:r>
        <w:rPr>
          <w:rFonts w:hint="eastAsia"/>
        </w:rPr>
        <w:t>九鲤湖国家级水利风景区、九龙谷国家级森林公园、麦斜岩景区、中国工农红军</w:t>
      </w:r>
      <w:r>
        <w:rPr>
          <w:rFonts w:hint="eastAsia"/>
        </w:rPr>
        <w:t>108</w:t>
      </w:r>
      <w:r>
        <w:rPr>
          <w:rFonts w:hint="eastAsia"/>
        </w:rPr>
        <w:t>团革命遗址纪念馆、榜头坝下工艺城、金钟水利枢纽工程、兴泰观光果园等。</w:t>
      </w:r>
    </w:p>
    <w:p w:rsidR="000816CE" w:rsidRDefault="00FC7BEB" w:rsidP="006C0D30">
      <w:pPr>
        <w:pStyle w:val="2"/>
        <w:spacing w:before="156" w:after="156"/>
        <w:ind w:firstLine="640"/>
        <w:rPr>
          <w:rFonts w:hint="default"/>
        </w:rPr>
      </w:pPr>
      <w:bookmarkStart w:id="14" w:name="_Toc5410"/>
      <w:r>
        <w:t>（三）多节点支撑</w:t>
      </w:r>
      <w:bookmarkEnd w:id="14"/>
    </w:p>
    <w:p w:rsidR="000816CE" w:rsidRDefault="00FC7BEB">
      <w:pPr>
        <w:ind w:firstLine="640"/>
      </w:pPr>
      <w:r>
        <w:rPr>
          <w:rFonts w:hint="eastAsia"/>
        </w:rPr>
        <w:t>即</w:t>
      </w:r>
      <w:r>
        <w:rPr>
          <w:color w:val="212529"/>
          <w:shd w:val="clear" w:color="auto" w:fill="FFFFFF"/>
        </w:rPr>
        <w:t>一批重点发展的现代服务业组团。</w:t>
      </w:r>
      <w:r>
        <w:rPr>
          <w:rFonts w:hint="eastAsia"/>
        </w:rPr>
        <w:t>拉开拉大全市服务业布</w:t>
      </w:r>
      <w:r>
        <w:rPr>
          <w:rFonts w:hint="eastAsia"/>
        </w:rPr>
        <w:lastRenderedPageBreak/>
        <w:t>局框架，结合全市各区的具体情况，布局形成各具特色、分工明确的服务业集群。依托莆田市快递·</w:t>
      </w:r>
      <w:r>
        <w:t>电</w:t>
      </w:r>
      <w:r>
        <w:rPr>
          <w:rFonts w:hint="eastAsia"/>
        </w:rPr>
        <w:t>商物流园、</w:t>
      </w:r>
      <w:r>
        <w:rPr>
          <w:rFonts w:ascii="仿宋" w:hAnsi="仿宋" w:hint="eastAsia"/>
        </w:rPr>
        <w:t>菜溪温泉康养小镇、仙游古典工艺博览城、莆田国际油画城、南少林生态旅游</w:t>
      </w:r>
      <w:r>
        <w:rPr>
          <w:rFonts w:ascii="仿宋" w:hAnsi="仿宋"/>
        </w:rPr>
        <w:t>4A</w:t>
      </w:r>
      <w:r>
        <w:rPr>
          <w:rFonts w:ascii="仿宋" w:hAnsi="仿宋"/>
        </w:rPr>
        <w:t>景区</w:t>
      </w:r>
      <w:r>
        <w:rPr>
          <w:rFonts w:ascii="仿宋" w:hAnsi="仿宋" w:hint="eastAsia"/>
        </w:rPr>
        <w:t>、京东（仙游）数字经济产业园、跨境电商综合试验区涵江园区、秀屿电商物流园、妈祖健康城、荔城区跨境电商产业园、跨境电商综合试验区涵江园区</w:t>
      </w:r>
      <w:r>
        <w:rPr>
          <w:rFonts w:hint="eastAsia"/>
        </w:rPr>
        <w:t>等重点发展项目，促进金融服务、文化旅游、现代物流、电子商务、商贸服务、健康服务集群发展，形成一批莆田特色现代服务业产业集群。</w:t>
      </w:r>
    </w:p>
    <w:p w:rsidR="000816CE" w:rsidRDefault="00FC7BEB" w:rsidP="006C0D30">
      <w:pPr>
        <w:pStyle w:val="3"/>
        <w:spacing w:before="156" w:after="156"/>
        <w:ind w:firstLine="640"/>
        <w:rPr>
          <w:rFonts w:hint="default"/>
        </w:rPr>
      </w:pPr>
      <w:r>
        <w:t>1.</w:t>
      </w:r>
      <w:r>
        <w:t>总部经济产业集群</w:t>
      </w:r>
    </w:p>
    <w:p w:rsidR="000816CE" w:rsidRDefault="00FC7BEB">
      <w:pPr>
        <w:ind w:firstLine="640"/>
      </w:pPr>
      <w:r>
        <w:rPr>
          <w:rFonts w:hint="eastAsia"/>
        </w:rPr>
        <w:t>主要位于涵江区、秀屿区、荔城区和城厢区，重点发展单位包括涵江区家联宝、点钢科技、东铭瑞华、青拓金属、新东联等企业单位，荔城区西天尾总部商务区、海源酒店周边、体育中心周边等</w:t>
      </w:r>
      <w:r>
        <w:rPr>
          <w:rFonts w:hint="eastAsia"/>
        </w:rPr>
        <w:t>3</w:t>
      </w:r>
      <w:r>
        <w:rPr>
          <w:rFonts w:hint="eastAsia"/>
        </w:rPr>
        <w:t>个楼宇办公集聚区，凯天国际、艾力艾总部、新威国际、美荔置业</w:t>
      </w:r>
      <w:r>
        <w:rPr>
          <w:rFonts w:hint="eastAsia"/>
        </w:rPr>
        <w:t>中心、万好医疗城、大师城等综合写字楼，城厢区荔园路商业综合体项目集聚区、安福电子商务产业集聚区，华林路汽车贸易产业集聚区，南门建材产业集聚区，电子城电子产品集聚</w:t>
      </w:r>
      <w:r>
        <w:rPr>
          <w:rFonts w:hint="eastAsia"/>
        </w:rPr>
        <w:lastRenderedPageBreak/>
        <w:t>区，油画城油画产业集聚区等。秀屿区重点扶持做大做强“药械网”、“平行威客”、“采木网”等平台。通过龙头带动，营造良好的氛围和基础，促进总部经济快速发展。</w:t>
      </w:r>
    </w:p>
    <w:p w:rsidR="000816CE" w:rsidRDefault="00FC7BEB" w:rsidP="006C0D30">
      <w:pPr>
        <w:pStyle w:val="3"/>
        <w:spacing w:before="156" w:after="156"/>
        <w:ind w:firstLine="640"/>
        <w:rPr>
          <w:rFonts w:hint="default"/>
        </w:rPr>
      </w:pPr>
      <w:r>
        <w:t>2.</w:t>
      </w:r>
      <w:r>
        <w:t>电子商务产业集聚区</w:t>
      </w:r>
    </w:p>
    <w:p w:rsidR="000816CE" w:rsidRDefault="00FC7BEB">
      <w:pPr>
        <w:ind w:firstLine="640"/>
        <w:rPr>
          <w:rFonts w:eastAsia="仿宋_GB2312"/>
        </w:rPr>
      </w:pPr>
      <w:r>
        <w:rPr>
          <w:rFonts w:eastAsia="仿宋_GB2312"/>
        </w:rPr>
        <w:t>依托中国（莆田）跨境电子商务综合试验区建设，加快推进跨境电子商务制度创新、管理创新、模式创新、服务创新，打造产业生态圈。</w:t>
      </w:r>
      <w:r>
        <w:rPr>
          <w:rFonts w:eastAsia="仿宋_GB2312" w:hint="eastAsia"/>
        </w:rPr>
        <w:t>大力实施直播新业态发展“</w:t>
      </w:r>
      <w:r>
        <w:rPr>
          <w:rFonts w:eastAsia="仿宋_GB2312" w:hint="eastAsia"/>
        </w:rPr>
        <w:t>662</w:t>
      </w:r>
      <w:r>
        <w:rPr>
          <w:rFonts w:eastAsia="仿宋_GB2312" w:hint="eastAsia"/>
        </w:rPr>
        <w:t>”工程，对接国内知名互联</w:t>
      </w:r>
      <w:r>
        <w:rPr>
          <w:rFonts w:eastAsia="仿宋_GB2312" w:hint="eastAsia"/>
        </w:rPr>
        <w:t>网平台、直播平台，做大做强京东（仙游）数字经济产业园、艺雕智慧产业园、上塘珠宝城等直播基地，孵化培育一批直播基地，力争</w:t>
      </w:r>
      <w:r>
        <w:rPr>
          <w:rFonts w:ascii="仿宋" w:hAnsi="仿宋" w:cs="仿宋" w:hint="eastAsia"/>
        </w:rPr>
        <w:t>“十四五”</w:t>
      </w:r>
      <w:r>
        <w:rPr>
          <w:rFonts w:eastAsia="仿宋_GB2312"/>
        </w:rPr>
        <w:t>期间建成</w:t>
      </w:r>
      <w:r>
        <w:rPr>
          <w:rFonts w:eastAsia="仿宋_GB2312" w:hint="eastAsia"/>
        </w:rPr>
        <w:t>10</w:t>
      </w:r>
      <w:r>
        <w:rPr>
          <w:rFonts w:eastAsia="仿宋_GB2312" w:hint="eastAsia"/>
        </w:rPr>
        <w:t>个直播基地</w:t>
      </w:r>
      <w:r>
        <w:rPr>
          <w:rFonts w:eastAsia="仿宋_GB2312"/>
        </w:rPr>
        <w:t>、培育</w:t>
      </w:r>
      <w:r>
        <w:rPr>
          <w:rFonts w:eastAsia="仿宋_GB2312" w:hint="eastAsia"/>
        </w:rPr>
        <w:t>100</w:t>
      </w:r>
      <w:r>
        <w:rPr>
          <w:rFonts w:eastAsia="仿宋_GB2312" w:hint="eastAsia"/>
        </w:rPr>
        <w:t>家直播企业。借助电商讲师大赛等平台资源，策划开展跨境电商专题招商对接</w:t>
      </w:r>
      <w:r>
        <w:rPr>
          <w:rFonts w:eastAsia="仿宋_GB2312"/>
        </w:rPr>
        <w:t>、对外交流合作等重大活动</w:t>
      </w:r>
      <w:r>
        <w:rPr>
          <w:rFonts w:eastAsia="仿宋_GB2312" w:hint="eastAsia"/>
        </w:rPr>
        <w:t>，推动</w:t>
      </w:r>
      <w:r>
        <w:rPr>
          <w:rFonts w:eastAsia="仿宋_GB2312"/>
        </w:rPr>
        <w:t>跨境电商供应链、专业服务等招商</w:t>
      </w:r>
      <w:r>
        <w:rPr>
          <w:rFonts w:eastAsia="仿宋_GB2312" w:hint="eastAsia"/>
        </w:rPr>
        <w:t>项目落地，培育形成一批跨境电商发展集聚区。</w:t>
      </w:r>
    </w:p>
    <w:p w:rsidR="000816CE" w:rsidRDefault="00FC7BEB" w:rsidP="006C0D30">
      <w:pPr>
        <w:pStyle w:val="3"/>
        <w:spacing w:before="156" w:after="156"/>
        <w:ind w:firstLine="640"/>
        <w:rPr>
          <w:rFonts w:hint="default"/>
        </w:rPr>
      </w:pPr>
      <w:r>
        <w:t>3.</w:t>
      </w:r>
      <w:r>
        <w:t>西北部山脉景观文旅核心区</w:t>
      </w:r>
    </w:p>
    <w:p w:rsidR="000816CE" w:rsidRDefault="00FC7BEB">
      <w:pPr>
        <w:ind w:firstLine="640"/>
        <w:rPr>
          <w:kern w:val="0"/>
        </w:rPr>
      </w:pPr>
      <w:r>
        <w:rPr>
          <w:rFonts w:hint="eastAsia"/>
          <w:kern w:val="0"/>
        </w:rPr>
        <w:t>以九鲤湖、湄洲岛两大景区为轴心，以九鲤湖至湄洲岛的快速通道为轴线，各景区景点主动对接两轴心一轴线，以此打造旅游交通的道路架构。完善“五山”景区交通、</w:t>
      </w:r>
      <w:r>
        <w:rPr>
          <w:rFonts w:hint="eastAsia"/>
          <w:kern w:val="0"/>
        </w:rPr>
        <w:t>住宿、购物、娱乐、养生、休闲等旅游配套设施，丰富游客旅游体验，宣扬九鲤湖祈</w:t>
      </w:r>
      <w:r>
        <w:rPr>
          <w:rFonts w:hint="eastAsia"/>
          <w:kern w:val="0"/>
        </w:rPr>
        <w:lastRenderedPageBreak/>
        <w:t>梦文化，打造莆田西特色文化体系。推动湄洲岛与九鲤湖两大景区山海协作、强强联合，提升莆田旅游总体品位。围绕九鲤湖景区建设，谋划修建</w:t>
      </w:r>
      <w:r>
        <w:rPr>
          <w:rFonts w:hint="eastAsia"/>
          <w:kern w:val="0"/>
        </w:rPr>
        <w:t>3</w:t>
      </w:r>
      <w:r>
        <w:rPr>
          <w:rFonts w:hint="eastAsia"/>
          <w:kern w:val="0"/>
        </w:rPr>
        <w:t>条旅游道路：一是修建直达九鲤湖的高速公路，彻底解决制约九鲤湖旅游发展的交通瓶颈问题。二是续接天龟公路，修建龟山经榜头洋山至九鲤湖的公路。沿线可增添许多景区景点，打造众多避暑胜地。三是修建南少林至九鲤湖的快速公路。促进南少林景区与九鲤湖景区互补融合发展。</w:t>
      </w:r>
    </w:p>
    <w:p w:rsidR="000816CE" w:rsidRDefault="00FC7BEB" w:rsidP="006C0D30">
      <w:pPr>
        <w:pStyle w:val="3"/>
        <w:spacing w:before="156" w:after="156"/>
        <w:ind w:firstLine="640"/>
        <w:rPr>
          <w:rFonts w:hint="default"/>
        </w:rPr>
      </w:pPr>
      <w:r>
        <w:t>4.</w:t>
      </w:r>
      <w:r>
        <w:t>工业旅游特色集聚区</w:t>
      </w:r>
    </w:p>
    <w:p w:rsidR="000816CE" w:rsidRDefault="00FC7BEB">
      <w:pPr>
        <w:ind w:firstLine="640"/>
        <w:rPr>
          <w:kern w:val="0"/>
        </w:rPr>
      </w:pPr>
      <w:r>
        <w:rPr>
          <w:rFonts w:ascii="Arial" w:hAnsi="Arial" w:cs="Arial" w:hint="eastAsia"/>
          <w:color w:val="191919"/>
          <w:shd w:val="clear" w:color="auto" w:fill="FFFFFF"/>
        </w:rPr>
        <w:t>依托</w:t>
      </w:r>
      <w:r>
        <w:rPr>
          <w:rFonts w:ascii="Arial" w:hAnsi="Arial" w:cs="Arial"/>
          <w:color w:val="191919"/>
          <w:shd w:val="clear" w:color="auto" w:fill="FFFFFF"/>
        </w:rPr>
        <w:t>涵江区啤酒小镇</w:t>
      </w:r>
      <w:r>
        <w:rPr>
          <w:rFonts w:ascii="Arial" w:hAnsi="Arial" w:cs="Arial" w:hint="eastAsia"/>
          <w:color w:val="191919"/>
          <w:shd w:val="clear" w:color="auto" w:fill="FFFFFF"/>
        </w:rPr>
        <w:t>和福建省莆田</w:t>
      </w:r>
      <w:r>
        <w:rPr>
          <w:rFonts w:ascii="Arial" w:hAnsi="Arial" w:cs="Arial" w:hint="eastAsia"/>
          <w:color w:val="191919"/>
          <w:shd w:val="clear" w:color="auto" w:fill="FFFFFF"/>
        </w:rPr>
        <w:t>盐场有限公司工业旅游示范基地，</w:t>
      </w:r>
      <w:r>
        <w:rPr>
          <w:rFonts w:hint="eastAsia"/>
          <w:kern w:val="0"/>
        </w:rPr>
        <w:t>积极培育工业新模式，发展工业旅游产业。通过对啤酒文化的提炼、衍生、延伸发展，打造以啤酒为主题，融合中西方啤酒文化精髓的特色小镇，形成包括世界高端啤酒品尝基地、酒文化创意园、风情酒吧街、啤酒广场、涵江民俗文化村、啤酒生产基地等在内的几大主题发展片区。进一步建成工业博物馆、工业遗产、文化创意、观光工厂、建设工业旅游全场慢道、垂钓、产品体验（研学基地）、五星级酒店（商务中心）等工业旅游体</w:t>
      </w:r>
      <w:r>
        <w:rPr>
          <w:rFonts w:hint="eastAsia"/>
          <w:kern w:val="0"/>
        </w:rPr>
        <w:lastRenderedPageBreak/>
        <w:t>系，在鞋服、食品、工艺美术等产业建立工业旅游培育库。</w:t>
      </w:r>
    </w:p>
    <w:p w:rsidR="000816CE" w:rsidRDefault="00FC7BEB" w:rsidP="006C0D30">
      <w:pPr>
        <w:pStyle w:val="3"/>
        <w:spacing w:before="156" w:after="156"/>
        <w:ind w:firstLine="640"/>
        <w:rPr>
          <w:rFonts w:hint="default"/>
        </w:rPr>
      </w:pPr>
      <w:r>
        <w:t>5.</w:t>
      </w:r>
      <w:r>
        <w:t>“三湾一屿”港口现代物流集群</w:t>
      </w:r>
    </w:p>
    <w:p w:rsidR="000816CE" w:rsidRDefault="00FC7BEB">
      <w:pPr>
        <w:ind w:firstLine="640"/>
      </w:pPr>
      <w:r>
        <w:rPr>
          <w:rFonts w:eastAsia="仿宋_GB2312"/>
        </w:rPr>
        <w:t>依托莆田东</w:t>
      </w:r>
      <w:r>
        <w:rPr>
          <w:rFonts w:eastAsia="仿宋_GB2312"/>
        </w:rPr>
        <w:t>站加快建设莆田陆地港</w:t>
      </w:r>
      <w:r>
        <w:rPr>
          <w:rFonts w:eastAsia="仿宋_GB2312" w:hint="eastAsia"/>
        </w:rPr>
        <w:t>及</w:t>
      </w:r>
      <w:r>
        <w:rPr>
          <w:rFonts w:hint="eastAsia"/>
        </w:rPr>
        <w:t>“三湾一屿”港口现代物流集群，包括秀屿港区、东吴港区、兴化港区等莆田主要港口，以兴化湾、平海湾、湄洲湾为前沿，三大主要港口各司其职，明确分工，同时发挥众小港的补充和协助作用。</w:t>
      </w:r>
      <w:r>
        <w:rPr>
          <w:rFonts w:eastAsia="仿宋_GB2312"/>
        </w:rPr>
        <w:t>打造融合快件、集拼、冷链物流、专业仓储、跨境电商等现代化物流服务功能的内陆口岸，构建连接海港、辐射腹地的综合性多式联运物流中心</w:t>
      </w:r>
      <w:r>
        <w:rPr>
          <w:rFonts w:eastAsia="仿宋_GB2312" w:hint="eastAsia"/>
        </w:rPr>
        <w:t>，形成“通道</w:t>
      </w:r>
      <w:r>
        <w:rPr>
          <w:rFonts w:eastAsia="仿宋_GB2312" w:hint="eastAsia"/>
        </w:rPr>
        <w:t>+</w:t>
      </w:r>
      <w:r>
        <w:rPr>
          <w:rFonts w:eastAsia="仿宋_GB2312" w:hint="eastAsia"/>
        </w:rPr>
        <w:t>枢纽</w:t>
      </w:r>
      <w:r>
        <w:rPr>
          <w:rFonts w:eastAsia="仿宋_GB2312" w:hint="eastAsia"/>
        </w:rPr>
        <w:t>+</w:t>
      </w:r>
      <w:r>
        <w:rPr>
          <w:rFonts w:eastAsia="仿宋_GB2312" w:hint="eastAsia"/>
        </w:rPr>
        <w:t>网络”的现代物流运行体系。</w:t>
      </w:r>
    </w:p>
    <w:p w:rsidR="000816CE" w:rsidRDefault="00FC7BEB" w:rsidP="006C0D30">
      <w:pPr>
        <w:pStyle w:val="3"/>
        <w:spacing w:before="156" w:after="156"/>
        <w:ind w:firstLine="640"/>
        <w:rPr>
          <w:rFonts w:hint="default"/>
        </w:rPr>
      </w:pPr>
      <w:r>
        <w:rPr>
          <w:rFonts w:hint="default"/>
        </w:rPr>
        <w:t>6</w:t>
      </w:r>
      <w:r>
        <w:t>.</w:t>
      </w:r>
      <w:r>
        <w:t>莆田市“中国文创之都”核心区</w:t>
      </w:r>
    </w:p>
    <w:p w:rsidR="000816CE" w:rsidRDefault="00FC7BEB">
      <w:pPr>
        <w:ind w:firstLine="640"/>
        <w:rPr>
          <w:kern w:val="0"/>
        </w:rPr>
      </w:pPr>
      <w:r>
        <w:rPr>
          <w:rFonts w:hint="eastAsia"/>
          <w:kern w:val="0"/>
        </w:rPr>
        <w:t>依托</w:t>
      </w:r>
      <w:r>
        <w:rPr>
          <w:kern w:val="0"/>
        </w:rPr>
        <w:t>仙游县榜头镇、赖店镇、度尾镇、大济镇</w:t>
      </w:r>
      <w:r>
        <w:rPr>
          <w:rFonts w:hint="eastAsia"/>
          <w:kern w:val="0"/>
        </w:rPr>
        <w:t>以及荔城区北高镇、秀屿区东峤镇打造文化创业产业基地。“十四五”期间，</w:t>
      </w:r>
      <w:r>
        <w:rPr>
          <w:rFonts w:ascii="Arial" w:hAnsi="Arial" w:cs="Arial"/>
          <w:color w:val="191919"/>
          <w:shd w:val="clear" w:color="auto" w:fill="FFFFFF"/>
        </w:rPr>
        <w:t>仙游工艺产业园内</w:t>
      </w:r>
      <w:r>
        <w:rPr>
          <w:rFonts w:ascii="Arial" w:hAnsi="Arial" w:cs="Arial" w:hint="eastAsia"/>
          <w:color w:val="191919"/>
          <w:shd w:val="clear" w:color="auto" w:fill="FFFFFF"/>
        </w:rPr>
        <w:t>进一步发展</w:t>
      </w:r>
      <w:r>
        <w:rPr>
          <w:rFonts w:ascii="Arial" w:hAnsi="Arial" w:cs="Arial"/>
          <w:color w:val="191919"/>
          <w:shd w:val="clear" w:color="auto" w:fill="FFFFFF"/>
        </w:rPr>
        <w:t>中国古典工艺博览城、仙游国际油画城及中国石艺文化城等，</w:t>
      </w:r>
      <w:r>
        <w:rPr>
          <w:rFonts w:ascii="Arial" w:hAnsi="Arial" w:cs="Arial" w:hint="eastAsia"/>
          <w:color w:val="191919"/>
          <w:shd w:val="clear" w:color="auto" w:fill="FFFFFF"/>
        </w:rPr>
        <w:t>切实将园区打造成为集古典工艺家具和油画等文化产业生产、展示、营销、仓储、研发、物流以及旅游等功能为一体的文化创意专业园区。力争把园区建设成为国内最</w:t>
      </w:r>
      <w:r>
        <w:rPr>
          <w:rFonts w:ascii="Arial" w:hAnsi="Arial" w:cs="Arial" w:hint="eastAsia"/>
          <w:color w:val="191919"/>
          <w:shd w:val="clear" w:color="auto" w:fill="FFFFFF"/>
        </w:rPr>
        <w:lastRenderedPageBreak/>
        <w:t>大的红木家具生产基地和交易市场及中国画业总部经济，把园区真正建设成为福建省特色文化创意产业园，成为面向海内外、全国性的海西品牌和海峡两岸文化交流的平台和窗口。</w:t>
      </w:r>
      <w:r>
        <w:rPr>
          <w:kern w:val="0"/>
        </w:rPr>
        <w:t>重点发展古典家具、</w:t>
      </w:r>
      <w:r>
        <w:rPr>
          <w:rFonts w:hint="eastAsia"/>
          <w:kern w:val="0"/>
        </w:rPr>
        <w:t>“</w:t>
      </w:r>
      <w:r>
        <w:rPr>
          <w:kern w:val="0"/>
        </w:rPr>
        <w:t>六编六雕</w:t>
      </w:r>
      <w:r>
        <w:rPr>
          <w:rFonts w:hint="eastAsia"/>
          <w:kern w:val="0"/>
        </w:rPr>
        <w:t>”</w:t>
      </w:r>
      <w:r>
        <w:rPr>
          <w:kern w:val="0"/>
        </w:rPr>
        <w:t>、油画、古玩、</w:t>
      </w:r>
      <w:r>
        <w:rPr>
          <w:rFonts w:hint="eastAsia"/>
          <w:kern w:val="0"/>
        </w:rPr>
        <w:t>金银珠宝</w:t>
      </w:r>
      <w:r>
        <w:rPr>
          <w:kern w:val="0"/>
        </w:rPr>
        <w:t>等重点行业，</w:t>
      </w:r>
      <w:r>
        <w:rPr>
          <w:rFonts w:hint="eastAsia"/>
          <w:kern w:val="0"/>
        </w:rPr>
        <w:t>建成</w:t>
      </w:r>
      <w:r>
        <w:rPr>
          <w:kern w:val="0"/>
        </w:rPr>
        <w:t>莆田市</w:t>
      </w:r>
      <w:r>
        <w:rPr>
          <w:rFonts w:hint="eastAsia"/>
          <w:kern w:val="0"/>
        </w:rPr>
        <w:t>“</w:t>
      </w:r>
      <w:r>
        <w:rPr>
          <w:kern w:val="0"/>
        </w:rPr>
        <w:t>中国文创之都</w:t>
      </w:r>
      <w:r>
        <w:rPr>
          <w:rFonts w:hint="eastAsia"/>
          <w:kern w:val="0"/>
        </w:rPr>
        <w:t>”</w:t>
      </w:r>
      <w:r>
        <w:rPr>
          <w:kern w:val="0"/>
        </w:rPr>
        <w:t>的核心区。</w:t>
      </w:r>
    </w:p>
    <w:p w:rsidR="000816CE" w:rsidRDefault="000816CE">
      <w:pPr>
        <w:ind w:firstLine="640"/>
        <w:sectPr w:rsidR="000816CE">
          <w:pgSz w:w="11906" w:h="16838"/>
          <w:pgMar w:top="1327" w:right="1519" w:bottom="1417" w:left="1463" w:header="851" w:footer="992" w:gutter="0"/>
          <w:cols w:space="720"/>
          <w:docGrid w:type="lines" w:linePitch="312"/>
        </w:sectPr>
      </w:pPr>
    </w:p>
    <w:p w:rsidR="000816CE" w:rsidRDefault="00FC7BEB">
      <w:pPr>
        <w:pStyle w:val="1"/>
        <w:spacing w:before="156" w:after="156"/>
      </w:pPr>
      <w:bookmarkStart w:id="15" w:name="_Toc270"/>
      <w:r>
        <w:rPr>
          <w:rFonts w:hint="eastAsia"/>
        </w:rPr>
        <w:lastRenderedPageBreak/>
        <w:t>第四章</w:t>
      </w:r>
      <w:r>
        <w:rPr>
          <w:rFonts w:hint="eastAsia"/>
        </w:rPr>
        <w:t xml:space="preserve"> </w:t>
      </w:r>
      <w:r>
        <w:rPr>
          <w:rFonts w:hint="eastAsia"/>
        </w:rPr>
        <w:t>创新发展生产性服务业</w:t>
      </w:r>
      <w:bookmarkEnd w:id="15"/>
    </w:p>
    <w:p w:rsidR="000816CE" w:rsidRDefault="00FC7BEB" w:rsidP="006C0D30">
      <w:pPr>
        <w:pStyle w:val="2"/>
        <w:spacing w:before="156" w:after="156"/>
        <w:ind w:firstLine="640"/>
        <w:jc w:val="both"/>
        <w:rPr>
          <w:rFonts w:eastAsia="仿宋" w:hint="default"/>
        </w:rPr>
      </w:pPr>
      <w:bookmarkStart w:id="16" w:name="_Toc6755"/>
      <w:r>
        <w:t>（一）电子商务</w:t>
      </w:r>
      <w:bookmarkEnd w:id="16"/>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pPr>
      <w:r>
        <w:rPr>
          <w:rFonts w:hint="eastAsia"/>
        </w:rPr>
        <w:t>加快</w:t>
      </w:r>
      <w:r>
        <w:t>国家电子商务示范城市建设</w:t>
      </w:r>
      <w:r>
        <w:rPr>
          <w:rFonts w:hint="eastAsia"/>
        </w:rPr>
        <w:t>，</w:t>
      </w:r>
      <w:r>
        <w:t>持续推动电子商务与</w:t>
      </w:r>
      <w:r>
        <w:rPr>
          <w:rFonts w:hint="eastAsia"/>
        </w:rPr>
        <w:t>莆田</w:t>
      </w:r>
      <w:r>
        <w:t>传统优势产业融合发展，</w:t>
      </w:r>
      <w:r>
        <w:rPr>
          <w:rFonts w:hint="eastAsia"/>
        </w:rPr>
        <w:t>打造优质高效、结构优化、竞争力强的</w:t>
      </w:r>
      <w:r>
        <w:t>电商生态圈。</w:t>
      </w:r>
      <w:r>
        <w:rPr>
          <w:rFonts w:hint="eastAsia"/>
        </w:rPr>
        <w:t>到</w:t>
      </w:r>
      <w:r>
        <w:t>2025</w:t>
      </w:r>
      <w:r>
        <w:t>年，</w:t>
      </w:r>
      <w:r>
        <w:rPr>
          <w:rFonts w:hint="eastAsia"/>
        </w:rPr>
        <w:t>全市限上电商企业数达</w:t>
      </w:r>
      <w:r>
        <w:rPr>
          <w:rFonts w:hint="eastAsia"/>
        </w:rPr>
        <w:t>800</w:t>
      </w:r>
      <w:r>
        <w:t>家，</w:t>
      </w:r>
      <w:r>
        <w:rPr>
          <w:rFonts w:hint="eastAsia"/>
        </w:rPr>
        <w:t>全市限上电商企业网络零售额达</w:t>
      </w:r>
      <w:r>
        <w:rPr>
          <w:rFonts w:hint="eastAsia"/>
        </w:rPr>
        <w:t>550</w:t>
      </w:r>
      <w:r>
        <w:rPr>
          <w:rFonts w:hint="eastAsia"/>
        </w:rPr>
        <w:t>亿元。</w:t>
      </w:r>
    </w:p>
    <w:p w:rsidR="000816CE" w:rsidRDefault="00FC7BEB" w:rsidP="006C0D30">
      <w:pPr>
        <w:pStyle w:val="3"/>
        <w:spacing w:before="156" w:after="156"/>
        <w:ind w:firstLine="640"/>
        <w:rPr>
          <w:rFonts w:hint="default"/>
        </w:rPr>
      </w:pPr>
      <w:r>
        <w:t>2.</w:t>
      </w:r>
      <w:r>
        <w:t>主要任务</w:t>
      </w:r>
    </w:p>
    <w:p w:rsidR="000816CE" w:rsidRDefault="00FC7BEB">
      <w:pPr>
        <w:ind w:firstLine="640"/>
      </w:pPr>
      <w:r>
        <w:t>优化</w:t>
      </w:r>
      <w:r>
        <w:rPr>
          <w:rFonts w:hint="eastAsia"/>
        </w:rPr>
        <w:t>莆田市</w:t>
      </w:r>
      <w:r>
        <w:t>电子商务发展环境，</w:t>
      </w:r>
      <w:r>
        <w:rPr>
          <w:rFonts w:hint="eastAsia"/>
        </w:rPr>
        <w:t>大力发展农村电商、跨境电商等重要领域，积极探索培育电商新业态，着力构建现代化电子商务服务体系，加快</w:t>
      </w:r>
      <w:r>
        <w:t>推进</w:t>
      </w:r>
      <w:r>
        <w:rPr>
          <w:rFonts w:hint="eastAsia"/>
        </w:rPr>
        <w:t>莆田市</w:t>
      </w:r>
      <w:r>
        <w:t>电子商务提质升级</w:t>
      </w:r>
      <w:r>
        <w:rPr>
          <w:rFonts w:hint="eastAsia"/>
        </w:rPr>
        <w:t>。</w:t>
      </w:r>
    </w:p>
    <w:p w:rsidR="000816CE" w:rsidRDefault="00FC7BEB" w:rsidP="006C0D30">
      <w:pPr>
        <w:pStyle w:val="a7"/>
        <w:ind w:firstLine="640"/>
        <w:rPr>
          <w:b/>
          <w:bCs/>
          <w:sz w:val="32"/>
          <w:szCs w:val="32"/>
        </w:rPr>
      </w:pPr>
      <w:r>
        <w:rPr>
          <w:rFonts w:hint="eastAsia"/>
          <w:b/>
          <w:bCs/>
          <w:sz w:val="32"/>
          <w:szCs w:val="32"/>
        </w:rPr>
        <w:t>持续加快跨境电商发展。</w:t>
      </w:r>
      <w:r>
        <w:rPr>
          <w:rFonts w:hint="eastAsia"/>
          <w:sz w:val="32"/>
          <w:szCs w:val="32"/>
        </w:rPr>
        <w:t>紧抓中国（莆田）跨境电子商务综合试验区建设契机，加快建设莆田跨境电商专业园区，吸引跨境电商企业和专业服务企业集聚，推进跨境电子商务制度创新、管理创新、模式创新、服务创新，持续优化跨境电商良性发展生态环境。鼓励打造跨境电商自主品牌，依托跨境电商产业园和跨境</w:t>
      </w:r>
      <w:r>
        <w:rPr>
          <w:rFonts w:hint="eastAsia"/>
          <w:sz w:val="32"/>
          <w:szCs w:val="32"/>
        </w:rPr>
        <w:lastRenderedPageBreak/>
        <w:t>电商孵化器，培育或引进一批具有一定业务规模、示范带动作用强的跨境电商企业。推动各类跨境贸易集货仓的投资建设，鼓励莆田跨境电商出口货物在本地集货清关。</w:t>
      </w:r>
    </w:p>
    <w:p w:rsidR="000816CE" w:rsidRDefault="00FC7BEB" w:rsidP="006C0D30">
      <w:pPr>
        <w:pStyle w:val="a7"/>
        <w:ind w:firstLine="640"/>
        <w:rPr>
          <w:sz w:val="32"/>
          <w:szCs w:val="32"/>
        </w:rPr>
      </w:pPr>
      <w:r>
        <w:rPr>
          <w:rFonts w:hint="eastAsia"/>
          <w:b/>
          <w:bCs/>
          <w:sz w:val="32"/>
          <w:szCs w:val="32"/>
        </w:rPr>
        <w:t>扎实推进农村电商发展。</w:t>
      </w:r>
      <w:r>
        <w:rPr>
          <w:rFonts w:hint="eastAsia"/>
          <w:sz w:val="32"/>
          <w:szCs w:val="32"/>
        </w:rPr>
        <w:t>持续培育农村电商经营主体，培养农村电商专业人才，引导农产品经营企业、农业龙头企业借助互</w:t>
      </w:r>
      <w:r>
        <w:rPr>
          <w:rFonts w:hint="eastAsia"/>
          <w:sz w:val="32"/>
          <w:szCs w:val="32"/>
        </w:rPr>
        <w:t>联网渠道进行网络销售，拓宽农产品销售市场。实施“互联网</w:t>
      </w:r>
      <w:r>
        <w:rPr>
          <w:rFonts w:hint="eastAsia"/>
          <w:sz w:val="32"/>
          <w:szCs w:val="32"/>
        </w:rPr>
        <w:t>+</w:t>
      </w:r>
      <w:r>
        <w:rPr>
          <w:rFonts w:hint="eastAsia"/>
          <w:sz w:val="32"/>
          <w:szCs w:val="32"/>
        </w:rPr>
        <w:t>”农产品出村进城工程，建设线上线下融合、覆盖率高、综合配套、便捷实惠的现代农村商品流通和服务网络，</w:t>
      </w:r>
      <w:r>
        <w:rPr>
          <w:sz w:val="32"/>
          <w:szCs w:val="32"/>
        </w:rPr>
        <w:t>推动</w:t>
      </w:r>
      <w:r>
        <w:rPr>
          <w:rFonts w:hint="eastAsia"/>
          <w:sz w:val="32"/>
          <w:szCs w:val="32"/>
        </w:rPr>
        <w:t>莆田文旦柚、荔枝、枇杷、鲍鱼、紫菜等</w:t>
      </w:r>
      <w:r>
        <w:rPr>
          <w:sz w:val="32"/>
          <w:szCs w:val="32"/>
        </w:rPr>
        <w:t>特色</w:t>
      </w:r>
      <w:r>
        <w:rPr>
          <w:rFonts w:hint="eastAsia"/>
          <w:sz w:val="32"/>
          <w:szCs w:val="32"/>
        </w:rPr>
        <w:t>产品</w:t>
      </w:r>
      <w:r>
        <w:rPr>
          <w:sz w:val="32"/>
          <w:szCs w:val="32"/>
        </w:rPr>
        <w:t>发展</w:t>
      </w:r>
      <w:r>
        <w:rPr>
          <w:rFonts w:hint="eastAsia"/>
          <w:sz w:val="32"/>
          <w:szCs w:val="32"/>
        </w:rPr>
        <w:t>线上销售，打造莆田特色农产品品牌。针对农产品生产布局、季节性收获和生鲜性销售的特点，科学规划集货、初加工、预冷、分拣、包装、仓储等基础设施，提高物流配送能力。</w:t>
      </w:r>
    </w:p>
    <w:p w:rsidR="000816CE" w:rsidRDefault="00FC7BEB" w:rsidP="006C0D30">
      <w:pPr>
        <w:pStyle w:val="a7"/>
        <w:ind w:firstLine="640"/>
        <w:rPr>
          <w:sz w:val="32"/>
          <w:szCs w:val="32"/>
        </w:rPr>
      </w:pPr>
      <w:r>
        <w:rPr>
          <w:rFonts w:hint="eastAsia"/>
          <w:b/>
          <w:bCs/>
          <w:sz w:val="32"/>
          <w:szCs w:val="32"/>
        </w:rPr>
        <w:t>完善电子商务服务体系。</w:t>
      </w:r>
      <w:r>
        <w:rPr>
          <w:rFonts w:hint="eastAsia"/>
          <w:sz w:val="32"/>
          <w:szCs w:val="32"/>
        </w:rPr>
        <w:t>加快实施电子商务服务支撑体系工程，</w:t>
      </w:r>
      <w:r>
        <w:rPr>
          <w:sz w:val="32"/>
          <w:szCs w:val="32"/>
        </w:rPr>
        <w:t>大力扶持各类电子商务专业服务企业</w:t>
      </w:r>
      <w:r>
        <w:rPr>
          <w:rFonts w:hint="eastAsia"/>
          <w:sz w:val="32"/>
          <w:szCs w:val="32"/>
        </w:rPr>
        <w:t>。培育一批从事电子商务平台开发、策划设计、代运营、分销应用</w:t>
      </w:r>
      <w:r>
        <w:rPr>
          <w:rFonts w:hint="eastAsia"/>
          <w:sz w:val="32"/>
          <w:szCs w:val="32"/>
        </w:rPr>
        <w:t>、拍摄服务等电子商务专业服务企业，发挥电子商务服务类工程协同促进效应，为电</w:t>
      </w:r>
      <w:r>
        <w:rPr>
          <w:rFonts w:hint="eastAsia"/>
          <w:sz w:val="32"/>
          <w:szCs w:val="32"/>
        </w:rPr>
        <w:lastRenderedPageBreak/>
        <w:t>子商务产业发展和应用推广提供强有力的支撑服务。</w:t>
      </w:r>
      <w:r>
        <w:rPr>
          <w:sz w:val="32"/>
          <w:szCs w:val="32"/>
        </w:rPr>
        <w:t>鼓励各类院校、</w:t>
      </w:r>
      <w:r>
        <w:rPr>
          <w:rFonts w:hint="eastAsia"/>
          <w:sz w:val="32"/>
          <w:szCs w:val="32"/>
        </w:rPr>
        <w:t>培训机构、电商企业</w:t>
      </w:r>
      <w:r>
        <w:rPr>
          <w:sz w:val="32"/>
          <w:szCs w:val="32"/>
        </w:rPr>
        <w:t>开展针对毕业生</w:t>
      </w:r>
      <w:r>
        <w:rPr>
          <w:rFonts w:hint="eastAsia"/>
          <w:sz w:val="32"/>
          <w:szCs w:val="32"/>
        </w:rPr>
        <w:t>、退伍军人、</w:t>
      </w:r>
      <w:r>
        <w:rPr>
          <w:sz w:val="32"/>
          <w:szCs w:val="32"/>
        </w:rPr>
        <w:t>涉农人员</w:t>
      </w:r>
      <w:r>
        <w:rPr>
          <w:rFonts w:hint="eastAsia"/>
          <w:sz w:val="32"/>
          <w:szCs w:val="32"/>
        </w:rPr>
        <w:t>等</w:t>
      </w:r>
      <w:r>
        <w:rPr>
          <w:sz w:val="32"/>
          <w:szCs w:val="32"/>
        </w:rPr>
        <w:t>对象</w:t>
      </w:r>
      <w:r>
        <w:rPr>
          <w:rFonts w:hint="eastAsia"/>
          <w:sz w:val="32"/>
          <w:szCs w:val="32"/>
        </w:rPr>
        <w:t>的电商技能培训。</w:t>
      </w:r>
    </w:p>
    <w:p w:rsidR="000816CE" w:rsidRDefault="00FC7BEB" w:rsidP="006C0D30">
      <w:pPr>
        <w:pStyle w:val="a7"/>
        <w:ind w:firstLine="640"/>
        <w:rPr>
          <w:sz w:val="32"/>
          <w:szCs w:val="32"/>
        </w:rPr>
      </w:pPr>
      <w:r>
        <w:rPr>
          <w:rFonts w:hint="eastAsia"/>
          <w:b/>
          <w:bCs/>
          <w:sz w:val="32"/>
          <w:szCs w:val="32"/>
        </w:rPr>
        <w:t>大力发展电商新兴业态。</w:t>
      </w:r>
      <w:r>
        <w:rPr>
          <w:rFonts w:hint="eastAsia"/>
          <w:sz w:val="32"/>
          <w:szCs w:val="32"/>
        </w:rPr>
        <w:t>实施直播新业态发展“</w:t>
      </w:r>
      <w:r>
        <w:rPr>
          <w:rFonts w:hint="eastAsia"/>
          <w:sz w:val="32"/>
          <w:szCs w:val="32"/>
        </w:rPr>
        <w:t>662</w:t>
      </w:r>
      <w:r>
        <w:rPr>
          <w:rFonts w:hint="eastAsia"/>
          <w:sz w:val="32"/>
          <w:szCs w:val="32"/>
        </w:rPr>
        <w:t>”工程，推进直播新业态与</w:t>
      </w:r>
      <w:r>
        <w:rPr>
          <w:sz w:val="32"/>
          <w:szCs w:val="32"/>
        </w:rPr>
        <w:t>鞋服、食品</w:t>
      </w:r>
      <w:r>
        <w:rPr>
          <w:rFonts w:hint="eastAsia"/>
          <w:sz w:val="32"/>
          <w:szCs w:val="32"/>
        </w:rPr>
        <w:t>、工艺美术等优势产业融合发展。发挥秀屿区上塘珠宝城直播基地、仙游抖音电商直播基地带动效应，推动电商与供应链企业协同共进，促进直播电商全产业链集群发展。支持市场主体打造直播电商孵化载体，集聚优质直播电商平台、</w:t>
      </w:r>
      <w:r>
        <w:rPr>
          <w:rFonts w:hint="eastAsia"/>
          <w:sz w:val="32"/>
          <w:szCs w:val="32"/>
        </w:rPr>
        <w:t>MCN</w:t>
      </w:r>
      <w:r>
        <w:rPr>
          <w:rFonts w:hint="eastAsia"/>
          <w:sz w:val="32"/>
          <w:szCs w:val="32"/>
        </w:rPr>
        <w:t>机构（网</w:t>
      </w:r>
      <w:r>
        <w:rPr>
          <w:rFonts w:hint="eastAsia"/>
          <w:sz w:val="32"/>
          <w:szCs w:val="32"/>
        </w:rPr>
        <w:t>红孵化运营机构）及相关服务配套企业。</w:t>
      </w:r>
    </w:p>
    <w:p w:rsidR="000816CE" w:rsidRDefault="000816CE">
      <w:pPr>
        <w:pStyle w:val="a7"/>
        <w:ind w:firstLine="640"/>
        <w:rPr>
          <w:sz w:val="32"/>
          <w:szCs w:val="32"/>
        </w:rPr>
      </w:pPr>
    </w:p>
    <w:p w:rsidR="000816CE" w:rsidRDefault="000816CE">
      <w:pPr>
        <w:pStyle w:val="a7"/>
        <w:ind w:firstLine="640"/>
        <w:rPr>
          <w:sz w:val="32"/>
          <w:szCs w:val="32"/>
        </w:rPr>
      </w:pP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9"/>
      </w:tblGrid>
      <w:tr w:rsidR="000816CE">
        <w:trPr>
          <w:jc w:val="center"/>
        </w:trPr>
        <w:tc>
          <w:tcPr>
            <w:tcW w:w="8649" w:type="dxa"/>
            <w:shd w:val="clear" w:color="auto" w:fill="DAEEF3" w:themeFill="accent5" w:themeFillTint="33"/>
            <w:vAlign w:val="center"/>
          </w:tcPr>
          <w:p w:rsidR="000816CE" w:rsidRDefault="00FC7BEB">
            <w:pPr>
              <w:adjustRightInd/>
              <w:snapToGrid/>
              <w:ind w:firstLine="643"/>
              <w:jc w:val="center"/>
              <w:rPr>
                <w:rFonts w:ascii="仿宋_GB2312" w:eastAsia="仿宋_GB2312" w:hAnsi="楷体" w:cs="楷体"/>
                <w:b/>
                <w:color w:val="000000" w:themeColor="text1"/>
                <w:sz w:val="28"/>
                <w:szCs w:val="28"/>
              </w:rPr>
            </w:pPr>
            <w:bookmarkStart w:id="17" w:name="_Hlk55467105"/>
            <w:r>
              <w:rPr>
                <w:rFonts w:ascii="仿宋_GB2312" w:eastAsia="仿宋_GB2312" w:hAnsi="楷体" w:cs="楷体" w:hint="eastAsia"/>
                <w:b/>
                <w:color w:val="000000" w:themeColor="text1"/>
              </w:rPr>
              <w:t>专栏</w:t>
            </w:r>
            <w:r>
              <w:rPr>
                <w:rFonts w:ascii="仿宋_GB2312" w:eastAsia="仿宋_GB2312" w:hAnsi="楷体" w:cs="楷体" w:hint="eastAsia"/>
                <w:b/>
                <w:color w:val="000000" w:themeColor="text1"/>
              </w:rPr>
              <w:t>1</w:t>
            </w:r>
            <w:r>
              <w:rPr>
                <w:rFonts w:ascii="仿宋_GB2312" w:eastAsia="仿宋_GB2312" w:hAnsi="楷体" w:cs="楷体"/>
                <w:b/>
                <w:color w:val="000000" w:themeColor="text1"/>
              </w:rPr>
              <w:t xml:space="preserve"> </w:t>
            </w:r>
            <w:r>
              <w:rPr>
                <w:rFonts w:ascii="仿宋_GB2312" w:eastAsia="仿宋_GB2312" w:hAnsi="楷体" w:cs="楷体" w:hint="eastAsia"/>
                <w:b/>
                <w:color w:val="000000" w:themeColor="text1"/>
              </w:rPr>
              <w:t>电子商务提质增效工程</w:t>
            </w:r>
          </w:p>
        </w:tc>
      </w:tr>
      <w:tr w:rsidR="000816CE">
        <w:trPr>
          <w:jc w:val="center"/>
        </w:trPr>
        <w:tc>
          <w:tcPr>
            <w:tcW w:w="8649" w:type="dxa"/>
            <w:shd w:val="clear" w:color="auto" w:fill="auto"/>
          </w:tcPr>
          <w:p w:rsidR="000816CE" w:rsidRDefault="00FC7BEB" w:rsidP="006C0D30">
            <w:pPr>
              <w:pStyle w:val="a7"/>
              <w:snapToGrid/>
              <w:ind w:firstLine="640"/>
              <w:rPr>
                <w:sz w:val="32"/>
                <w:szCs w:val="32"/>
              </w:rPr>
            </w:pPr>
            <w:r>
              <w:rPr>
                <w:rFonts w:hint="eastAsia"/>
                <w:b/>
                <w:bCs/>
                <w:sz w:val="32"/>
                <w:szCs w:val="32"/>
              </w:rPr>
              <w:t>——</w:t>
            </w:r>
            <w:r>
              <w:rPr>
                <w:b/>
                <w:bCs/>
                <w:sz w:val="32"/>
                <w:szCs w:val="32"/>
              </w:rPr>
              <w:t>跨境电商</w:t>
            </w:r>
            <w:r>
              <w:rPr>
                <w:rFonts w:hint="eastAsia"/>
                <w:b/>
                <w:bCs/>
                <w:sz w:val="32"/>
                <w:szCs w:val="32"/>
              </w:rPr>
              <w:t>体系建设工程</w:t>
            </w:r>
          </w:p>
          <w:p w:rsidR="000816CE" w:rsidRDefault="00FC7BEB">
            <w:pPr>
              <w:pStyle w:val="a7"/>
              <w:ind w:firstLine="640"/>
              <w:rPr>
                <w:sz w:val="32"/>
                <w:szCs w:val="32"/>
              </w:rPr>
            </w:pPr>
            <w:r>
              <w:rPr>
                <w:sz w:val="32"/>
                <w:szCs w:val="32"/>
              </w:rPr>
              <w:t>全力推动跨境电商</w:t>
            </w:r>
            <w:r>
              <w:rPr>
                <w:rFonts w:hint="eastAsia"/>
                <w:sz w:val="32"/>
                <w:szCs w:val="32"/>
              </w:rPr>
              <w:t>“</w:t>
            </w:r>
            <w:r>
              <w:rPr>
                <w:sz w:val="32"/>
                <w:szCs w:val="32"/>
              </w:rPr>
              <w:t>四平台、六体系</w:t>
            </w:r>
            <w:r>
              <w:rPr>
                <w:rFonts w:hint="eastAsia"/>
                <w:sz w:val="32"/>
                <w:szCs w:val="32"/>
              </w:rPr>
              <w:t>”</w:t>
            </w:r>
            <w:r>
              <w:rPr>
                <w:sz w:val="32"/>
                <w:szCs w:val="32"/>
              </w:rPr>
              <w:t>建设，推动跨境电商物流、金融、供应链等环节创新，完善跨境电商贸易监管、物流服务、金融服务、信用管理、统计监测、风险防控等体系建设，培育形成</w:t>
            </w:r>
            <w:r>
              <w:rPr>
                <w:sz w:val="32"/>
                <w:szCs w:val="32"/>
              </w:rPr>
              <w:t>5</w:t>
            </w:r>
            <w:r>
              <w:rPr>
                <w:sz w:val="32"/>
                <w:szCs w:val="32"/>
              </w:rPr>
              <w:t>个以上功能完善、各具特色的跨境电子</w:t>
            </w:r>
            <w:r>
              <w:rPr>
                <w:sz w:val="32"/>
                <w:szCs w:val="32"/>
              </w:rPr>
              <w:lastRenderedPageBreak/>
              <w:t>商务发展集聚区，重点打造</w:t>
            </w:r>
            <w:r>
              <w:rPr>
                <w:sz w:val="32"/>
                <w:szCs w:val="32"/>
              </w:rPr>
              <w:t>10</w:t>
            </w:r>
            <w:r>
              <w:rPr>
                <w:sz w:val="32"/>
                <w:szCs w:val="32"/>
              </w:rPr>
              <w:t>个以上在国际市场上具有竞争力和影响力的跨境电子商务品牌。</w:t>
            </w:r>
          </w:p>
          <w:p w:rsidR="000816CE" w:rsidRDefault="00FC7BEB">
            <w:pPr>
              <w:pStyle w:val="a7"/>
              <w:ind w:firstLine="643"/>
              <w:rPr>
                <w:rFonts w:ascii="仿宋_GB2312" w:eastAsia="仿宋_GB2312" w:hAnsi="楷体" w:cs="楷体"/>
                <w:sz w:val="32"/>
                <w:szCs w:val="32"/>
              </w:rPr>
            </w:pPr>
            <w:r>
              <w:rPr>
                <w:rFonts w:ascii="仿宋_GB2312" w:eastAsia="仿宋_GB2312" w:hAnsi="楷体" w:cs="楷体" w:hint="eastAsia"/>
                <w:b/>
                <w:bCs/>
                <w:sz w:val="32"/>
                <w:szCs w:val="32"/>
              </w:rPr>
              <w:t>——直播新业态快速发展工程</w:t>
            </w:r>
          </w:p>
          <w:p w:rsidR="000816CE" w:rsidRDefault="00FC7BEB">
            <w:pPr>
              <w:ind w:firstLine="640"/>
            </w:pPr>
            <w:r>
              <w:t>积极对接</w:t>
            </w:r>
            <w:r>
              <w:rPr>
                <w:rFonts w:hint="eastAsia"/>
              </w:rPr>
              <w:t>阿里巴巴、京东、抖音</w:t>
            </w:r>
            <w:r>
              <w:t>、</w:t>
            </w:r>
            <w:r>
              <w:rPr>
                <w:rFonts w:hint="eastAsia"/>
              </w:rPr>
              <w:t>快手等</w:t>
            </w:r>
            <w:r>
              <w:t>国内知名互联网平台、直播平台，推动</w:t>
            </w:r>
            <w:r>
              <w:rPr>
                <w:rFonts w:hint="eastAsia"/>
              </w:rPr>
              <w:t>鞋服、</w:t>
            </w:r>
            <w:r>
              <w:t>食品</w:t>
            </w:r>
            <w:r>
              <w:rPr>
                <w:rFonts w:hint="eastAsia"/>
              </w:rPr>
              <w:t>、</w:t>
            </w:r>
            <w:r>
              <w:t>工艺美术</w:t>
            </w:r>
            <w:r>
              <w:rPr>
                <w:rFonts w:hint="eastAsia"/>
              </w:rPr>
              <w:t>等特色优质产品</w:t>
            </w:r>
            <w:r>
              <w:t>开展线上销售</w:t>
            </w:r>
            <w:r>
              <w:rPr>
                <w:rFonts w:hint="eastAsia"/>
              </w:rPr>
              <w:t>。</w:t>
            </w:r>
            <w:r>
              <w:t>做大做强京东（仙游）数字经济产业园、艺雕智慧产业园、上塘珠宝城等直播基地，</w:t>
            </w:r>
            <w:r>
              <w:rPr>
                <w:rFonts w:hint="eastAsia"/>
              </w:rPr>
              <w:t>打造一批布局合理、特色鲜明的直播示范基地。</w:t>
            </w:r>
            <w:r>
              <w:t>加强电商直播专业人才培育</w:t>
            </w:r>
            <w:r>
              <w:rPr>
                <w:rFonts w:hint="eastAsia"/>
              </w:rPr>
              <w:t>，引进一批知名直播机构、网红经纪公司等，培养一批主播人才和直播团队。</w:t>
            </w:r>
          </w:p>
          <w:p w:rsidR="000816CE" w:rsidRDefault="00FC7BEB" w:rsidP="006C0D30">
            <w:pPr>
              <w:pStyle w:val="a7"/>
              <w:ind w:firstLine="640"/>
              <w:rPr>
                <w:sz w:val="32"/>
                <w:szCs w:val="32"/>
              </w:rPr>
            </w:pPr>
            <w:r>
              <w:rPr>
                <w:rFonts w:hint="eastAsia"/>
                <w:b/>
                <w:bCs/>
                <w:sz w:val="32"/>
                <w:szCs w:val="32"/>
              </w:rPr>
              <w:t>——</w:t>
            </w:r>
            <w:r>
              <w:rPr>
                <w:b/>
                <w:bCs/>
                <w:sz w:val="32"/>
                <w:szCs w:val="32"/>
              </w:rPr>
              <w:t>农村电商</w:t>
            </w:r>
            <w:r>
              <w:rPr>
                <w:rFonts w:hint="eastAsia"/>
                <w:b/>
                <w:bCs/>
                <w:sz w:val="32"/>
                <w:szCs w:val="32"/>
              </w:rPr>
              <w:t>物流服务工程</w:t>
            </w:r>
          </w:p>
          <w:p w:rsidR="000816CE" w:rsidRDefault="00FC7BEB">
            <w:pPr>
              <w:pStyle w:val="a7"/>
              <w:ind w:firstLine="640"/>
              <w:rPr>
                <w:sz w:val="32"/>
                <w:szCs w:val="32"/>
              </w:rPr>
            </w:pPr>
            <w:r>
              <w:rPr>
                <w:sz w:val="32"/>
                <w:szCs w:val="32"/>
              </w:rPr>
              <w:t>以电子商务进农村示范工作为抓手，推动仙游县建设国家级农村电子商务示范县，进一步完善农村电子商务服务体系建设，优化农村电子商务发展环境，推动县域商业体系转型升级，培育壮大农村市场主体，促进农产品进城和工业品下乡，提升农村商贸流通现代化水平，助力乡村振</w:t>
            </w:r>
            <w:r>
              <w:rPr>
                <w:sz w:val="32"/>
                <w:szCs w:val="32"/>
              </w:rPr>
              <w:t>兴发展</w:t>
            </w:r>
            <w:r>
              <w:rPr>
                <w:rFonts w:hint="eastAsia"/>
                <w:sz w:val="32"/>
                <w:szCs w:val="32"/>
              </w:rPr>
              <w:t>。</w:t>
            </w:r>
          </w:p>
          <w:p w:rsidR="000816CE" w:rsidRDefault="00FC7BEB" w:rsidP="006C0D30">
            <w:pPr>
              <w:pStyle w:val="a7"/>
              <w:ind w:firstLine="640"/>
              <w:rPr>
                <w:sz w:val="28"/>
                <w:szCs w:val="28"/>
              </w:rPr>
            </w:pPr>
            <w:r>
              <w:rPr>
                <w:rFonts w:hint="eastAsia"/>
                <w:b/>
                <w:bCs/>
                <w:sz w:val="32"/>
                <w:szCs w:val="32"/>
              </w:rPr>
              <w:lastRenderedPageBreak/>
              <w:t>主要项目：</w:t>
            </w:r>
            <w:r>
              <w:rPr>
                <w:rFonts w:hint="eastAsia"/>
                <w:sz w:val="32"/>
                <w:szCs w:val="32"/>
              </w:rPr>
              <w:t>京东（仙游）数字经济产业园、秀屿区快递·电商园、跨境电商</w:t>
            </w:r>
            <w:r>
              <w:rPr>
                <w:sz w:val="32"/>
                <w:szCs w:val="32"/>
              </w:rPr>
              <w:t>线上综合服务平台</w:t>
            </w:r>
            <w:r>
              <w:rPr>
                <w:rFonts w:hint="eastAsia"/>
                <w:sz w:val="32"/>
                <w:szCs w:val="32"/>
              </w:rPr>
              <w:t>、康之诚（莆田）食品电商城投资项目、洋西联发电商城城市购物广场、东海鞋服配送电子商务中心项目。</w:t>
            </w:r>
          </w:p>
        </w:tc>
      </w:tr>
      <w:bookmarkEnd w:id="17"/>
    </w:tbl>
    <w:p w:rsidR="000816CE" w:rsidRDefault="00FC7BEB" w:rsidP="006C0D30">
      <w:pPr>
        <w:spacing w:beforeLines="100" w:after="156"/>
        <w:ind w:firstLine="640"/>
      </w:pPr>
      <w:r>
        <w:rPr>
          <w:rFonts w:hint="eastAsia"/>
        </w:rPr>
        <w:lastRenderedPageBreak/>
        <w:br w:type="page"/>
      </w:r>
    </w:p>
    <w:p w:rsidR="000816CE" w:rsidRDefault="00FC7BEB" w:rsidP="006C0D30">
      <w:pPr>
        <w:pStyle w:val="2"/>
        <w:spacing w:beforeLines="100" w:after="156"/>
        <w:ind w:firstLine="640"/>
        <w:rPr>
          <w:rFonts w:eastAsia="仿宋" w:hint="default"/>
        </w:rPr>
      </w:pPr>
      <w:bookmarkStart w:id="18" w:name="_Toc8645"/>
      <w:r>
        <w:lastRenderedPageBreak/>
        <w:t>（二）金融服务</w:t>
      </w:r>
      <w:bookmarkEnd w:id="18"/>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rPr>
          <w:rFonts w:ascii="仿宋" w:hAnsi="仿宋"/>
        </w:rPr>
      </w:pPr>
      <w:r>
        <w:rPr>
          <w:rFonts w:ascii="仿宋" w:hAnsi="仿宋" w:hint="eastAsia"/>
        </w:rPr>
        <w:t>持续深化多元化的现代金融组织体系，提升金融供给的适配性，开发多层次、广覆盖、具有莆田特色的综合性金融服务</w:t>
      </w:r>
      <w:r>
        <w:t>产品，激发经济发展新动能。至</w:t>
      </w:r>
      <w:r>
        <w:t>2025</w:t>
      </w:r>
      <w:r>
        <w:t>年，金融机构存款余额达到</w:t>
      </w:r>
      <w:r>
        <w:t>3000</w:t>
      </w:r>
      <w:r>
        <w:t>亿元，贷款余额达到</w:t>
      </w:r>
      <w:r>
        <w:t>3000</w:t>
      </w:r>
      <w:r>
        <w:t>亿元，金融业增加值达到</w:t>
      </w:r>
      <w:r>
        <w:t>300</w:t>
      </w:r>
      <w:r>
        <w:t>亿元。</w:t>
      </w:r>
    </w:p>
    <w:p w:rsidR="000816CE" w:rsidRDefault="00FC7BEB" w:rsidP="006C0D30">
      <w:pPr>
        <w:pStyle w:val="3"/>
        <w:spacing w:before="156" w:after="156"/>
        <w:ind w:firstLine="640"/>
        <w:rPr>
          <w:rFonts w:hint="default"/>
        </w:rPr>
      </w:pPr>
      <w:r>
        <w:t>2.</w:t>
      </w:r>
      <w:r>
        <w:t>主要任务</w:t>
      </w:r>
    </w:p>
    <w:p w:rsidR="000816CE" w:rsidRDefault="00FC7BEB">
      <w:pPr>
        <w:ind w:firstLine="640"/>
        <w:rPr>
          <w:rFonts w:ascii="仿宋" w:hAnsi="仿宋"/>
        </w:rPr>
      </w:pPr>
      <w:r>
        <w:rPr>
          <w:rFonts w:ascii="仿宋" w:hAnsi="仿宋" w:hint="eastAsia"/>
        </w:rPr>
        <w:t>拓宽莆田金融服务体量，推动金融机构、服务产品、服务形式的多样化发展，发挥金融引导作用，打造健康、可持续的产业发展环境。</w:t>
      </w:r>
    </w:p>
    <w:p w:rsidR="000816CE" w:rsidRDefault="00FC7BEB" w:rsidP="006C0D30">
      <w:pPr>
        <w:ind w:firstLine="640"/>
        <w:rPr>
          <w:rFonts w:ascii="仿宋" w:hAnsi="仿宋"/>
        </w:rPr>
      </w:pPr>
      <w:r>
        <w:rPr>
          <w:rFonts w:ascii="仿宋" w:hAnsi="仿宋" w:hint="eastAsia"/>
          <w:b/>
          <w:bCs/>
        </w:rPr>
        <w:t>引进多样化的金融组织。</w:t>
      </w:r>
      <w:r>
        <w:rPr>
          <w:rFonts w:ascii="仿宋" w:hAnsi="仿宋" w:hint="eastAsia"/>
        </w:rPr>
        <w:t>进一步完善、规范引金机制，正确引导金融机构来莆发展，全面拓宽莆田市金融服务行业的体量与规模。支持具有良好信誉的投资银行、资产管理机构和投资咨询机构来莆展业，规范推进金融服务公司、票据服务公司、民间融资登记服务公司等新型类金融中介机构发展，做到驻莆金融机构“量增质优”。丰富金融服务品种，拓展金融服务实体经济的广度</w:t>
      </w:r>
      <w:r>
        <w:rPr>
          <w:rFonts w:ascii="仿宋" w:hAnsi="仿宋" w:hint="eastAsia"/>
        </w:rPr>
        <w:lastRenderedPageBreak/>
        <w:t>和深度，为处于不同生命周期的企业提供针对性的全面金融服务。</w:t>
      </w:r>
    </w:p>
    <w:p w:rsidR="000816CE" w:rsidRDefault="00FC7BEB" w:rsidP="006C0D30">
      <w:pPr>
        <w:ind w:firstLine="640"/>
      </w:pPr>
      <w:r>
        <w:rPr>
          <w:rFonts w:hint="eastAsia"/>
          <w:b/>
          <w:bCs/>
        </w:rPr>
        <w:t>加大制造业金融服务力度。</w:t>
      </w:r>
      <w:r>
        <w:rPr>
          <w:rFonts w:hint="eastAsia"/>
          <w:bCs/>
        </w:rPr>
        <w:t>加强对制造业科技创新、转型升级的金融支持，特别加强对工业互联网重点项目的金融支持力度，支持制造业个性化定制和服务型制造，推进传统制造产业转型升级，促进整体制造业向中高端迈进。以供应链中大型核心企业为出发点，为供应链上下游配套融资难的中小企业提供金融支持，激活供应链运转，促使制造业产业链与金融价值链融合发展。</w:t>
      </w:r>
    </w:p>
    <w:p w:rsidR="000816CE" w:rsidRDefault="00FC7BEB" w:rsidP="006C0D30">
      <w:pPr>
        <w:ind w:firstLine="640"/>
        <w:rPr>
          <w:rFonts w:ascii="仿宋" w:hAnsi="仿宋"/>
        </w:rPr>
      </w:pPr>
      <w:r>
        <w:rPr>
          <w:rFonts w:ascii="仿宋" w:hAnsi="仿宋" w:hint="eastAsia"/>
          <w:b/>
          <w:bCs/>
        </w:rPr>
        <w:t>加快金融业数字化发展。</w:t>
      </w:r>
      <w:r>
        <w:rPr>
          <w:rFonts w:ascii="仿宋" w:hAnsi="仿宋" w:hint="eastAsia"/>
        </w:rPr>
        <w:t>促进传统金融服务向移动化、智能化的金融服务转变。加快推进金融平台资源整合，打通莆田金融平台与国家级、省级平台的数据对接。汇聚资源重点推动本土大型金服平台建</w:t>
      </w:r>
      <w:r>
        <w:rPr>
          <w:rFonts w:ascii="仿宋" w:hAnsi="仿宋" w:hint="eastAsia"/>
        </w:rPr>
        <w:t>设，完善平台信息要素，打破部门、公共资源、产业间的数据壁垒，以服务化形式将数据要素导入到市场化配置中。依托新兴技术的应用，对接政务服务、电子商务等各类场景，推动金融服务与数字产业深度融合，提升金融产品创新与服务水平。</w:t>
      </w:r>
    </w:p>
    <w:p w:rsidR="000816CE" w:rsidRDefault="00FC7BEB" w:rsidP="006C0D30">
      <w:pPr>
        <w:spacing w:before="156" w:after="156"/>
        <w:ind w:firstLine="640"/>
        <w:rPr>
          <w:rFonts w:ascii="仿宋" w:hAnsi="仿宋"/>
        </w:rPr>
      </w:pPr>
      <w:r>
        <w:rPr>
          <w:rFonts w:ascii="仿宋" w:hAnsi="仿宋" w:hint="eastAsia"/>
          <w:b/>
          <w:bCs/>
        </w:rPr>
        <w:t>健全完善金融生态环境。</w:t>
      </w:r>
      <w:r>
        <w:rPr>
          <w:rFonts w:ascii="仿宋" w:hAnsi="仿宋" w:hint="eastAsia"/>
        </w:rPr>
        <w:t>在提升金融供给适配性的同时，机构、企业双管齐下，力求打造“敢做愿做能做会做”的金融生态。</w:t>
      </w:r>
      <w:r>
        <w:rPr>
          <w:rFonts w:ascii="仿宋" w:hAnsi="仿宋" w:hint="eastAsia"/>
        </w:rPr>
        <w:lastRenderedPageBreak/>
        <w:t>面对金融机构，形成成熟的风控文化和激励、问责长效机制，同步加强审慎监管和行为监管工作，有效遏制风险乱象，营造金融机构敢贷愿贷能贷的良好融资环境。促进服务平台为银行提供数据库为信贷决策提</w:t>
      </w:r>
      <w:r>
        <w:rPr>
          <w:rFonts w:ascii="仿宋" w:hAnsi="仿宋" w:hint="eastAsia"/>
        </w:rPr>
        <w:t>供支持，帮助银行精准开展贷前、贷中、贷后评估。精准匹配企业真实融资需求，优化信贷资源配置，发挥信用联合激励与惩戒机制作用，加大恶意逃废债、失信造假行为及金融放贷领域违法违规行为的打击力度。</w:t>
      </w:r>
    </w:p>
    <w:p w:rsidR="000816CE" w:rsidRDefault="000816CE">
      <w:pPr>
        <w:spacing w:before="156" w:after="156"/>
        <w:ind w:firstLine="640"/>
      </w:pPr>
    </w:p>
    <w:p w:rsidR="000816CE" w:rsidRDefault="000816CE">
      <w:pPr>
        <w:spacing w:before="156" w:after="156"/>
        <w:ind w:firstLine="640"/>
      </w:pPr>
    </w:p>
    <w:tbl>
      <w:tblPr>
        <w:tblStyle w:val="ac"/>
        <w:tblW w:w="9140" w:type="dxa"/>
        <w:tblLayout w:type="fixed"/>
        <w:tblLook w:val="04A0"/>
      </w:tblPr>
      <w:tblGrid>
        <w:gridCol w:w="9140"/>
      </w:tblGrid>
      <w:tr w:rsidR="000816CE">
        <w:tc>
          <w:tcPr>
            <w:tcW w:w="9140" w:type="dxa"/>
            <w:shd w:val="clear" w:color="auto" w:fill="DAEEF3"/>
          </w:tcPr>
          <w:p w:rsidR="000816CE" w:rsidRDefault="00FC7BEB">
            <w:pPr>
              <w:pStyle w:val="a6"/>
              <w:snapToGrid/>
            </w:pPr>
            <w:r>
              <w:rPr>
                <w:rFonts w:hint="eastAsia"/>
              </w:rPr>
              <w:t>专栏</w:t>
            </w:r>
            <w:r>
              <w:rPr>
                <w:rFonts w:hint="eastAsia"/>
              </w:rPr>
              <w:t xml:space="preserve">2  </w:t>
            </w:r>
            <w:r>
              <w:rPr>
                <w:rFonts w:ascii="仿宋_GB2312" w:eastAsia="仿宋_GB2312" w:hAnsi="楷体" w:cs="楷体" w:hint="eastAsia"/>
                <w:color w:val="000000"/>
              </w:rPr>
              <w:t>金融服务稳健发展</w:t>
            </w:r>
            <w:r>
              <w:rPr>
                <w:rFonts w:hint="eastAsia"/>
              </w:rPr>
              <w:t>工程</w:t>
            </w:r>
          </w:p>
        </w:tc>
      </w:tr>
      <w:tr w:rsidR="000816CE">
        <w:tc>
          <w:tcPr>
            <w:tcW w:w="9140" w:type="dxa"/>
          </w:tcPr>
          <w:p w:rsidR="000816CE" w:rsidRDefault="00FC7BEB">
            <w:pPr>
              <w:snapToGrid/>
              <w:ind w:firstLine="643"/>
              <w:rPr>
                <w:rFonts w:eastAsia="仿宋_GB2312"/>
                <w:b/>
                <w:bCs/>
                <w:color w:val="000000"/>
              </w:rPr>
            </w:pPr>
            <w:r>
              <w:rPr>
                <w:rFonts w:eastAsia="仿宋_GB2312" w:hint="eastAsia"/>
                <w:b/>
                <w:bCs/>
                <w:color w:val="000000"/>
              </w:rPr>
              <w:t>——普惠金融服务下沉工程</w:t>
            </w:r>
          </w:p>
          <w:p w:rsidR="000816CE" w:rsidRDefault="00FC7BEB">
            <w:pPr>
              <w:ind w:firstLine="640"/>
              <w:rPr>
                <w:rFonts w:eastAsia="仿宋_GB2312"/>
                <w:color w:val="000000"/>
              </w:rPr>
            </w:pPr>
            <w:r>
              <w:rPr>
                <w:rFonts w:eastAsia="仿宋_GB2312" w:hint="eastAsia"/>
                <w:color w:val="000000"/>
              </w:rPr>
              <w:t>金融服务重心下沉，优化乡村、偏远地区金融机构布局，加大对中小企业、三农等领域的信贷支持力度，为中小微、三农企业提供量身定制的金融服务。完善普惠金融服务平台建设，定期展开金融服务普惠金融下乡宣传工作，着重解决</w:t>
            </w:r>
            <w:r>
              <w:rPr>
                <w:rFonts w:eastAsia="仿宋_GB2312" w:hint="eastAsia"/>
              </w:rPr>
              <w:t>中小微、</w:t>
            </w:r>
            <w:r>
              <w:rPr>
                <w:rFonts w:eastAsia="仿宋_GB2312" w:hint="eastAsia"/>
                <w:color w:val="000000"/>
              </w:rPr>
              <w:t>三农企业</w:t>
            </w:r>
            <w:r>
              <w:rPr>
                <w:rFonts w:eastAsia="仿宋_GB2312" w:hint="eastAsia"/>
              </w:rPr>
              <w:t>贷款难</w:t>
            </w:r>
            <w:r>
              <w:rPr>
                <w:rFonts w:eastAsia="仿宋_GB2312" w:hint="eastAsia"/>
                <w:color w:val="000000"/>
              </w:rPr>
              <w:t>，不会贷的关键问题，提高偏远地区普惠金融工具使用率。为中小微、三农企业提供经营、管理、投资等在内的综合型咨询服务，助力企业产品、技术、战略升级，构筑企业核心竞争优势，帮助中小微、三农企业做大做强。</w:t>
            </w:r>
          </w:p>
          <w:p w:rsidR="000816CE" w:rsidRDefault="00FC7BEB">
            <w:pPr>
              <w:ind w:firstLine="643"/>
              <w:rPr>
                <w:rFonts w:eastAsia="仿宋_GB2312"/>
                <w:b/>
                <w:bCs/>
                <w:color w:val="000000"/>
              </w:rPr>
            </w:pPr>
            <w:r>
              <w:rPr>
                <w:rFonts w:eastAsia="仿宋_GB2312" w:hint="eastAsia"/>
                <w:b/>
                <w:bCs/>
                <w:color w:val="000000"/>
              </w:rPr>
              <w:lastRenderedPageBreak/>
              <w:t>——绿色金融体系完备工程</w:t>
            </w:r>
          </w:p>
          <w:p w:rsidR="000816CE" w:rsidRDefault="00FC7BEB">
            <w:pPr>
              <w:ind w:firstLine="640"/>
              <w:rPr>
                <w:rFonts w:eastAsia="仿宋_GB2312"/>
                <w:color w:val="000000"/>
              </w:rPr>
            </w:pPr>
            <w:r>
              <w:rPr>
                <w:rFonts w:eastAsia="仿宋_GB2312" w:hint="eastAsia"/>
                <w:color w:val="000000"/>
              </w:rPr>
              <w:t>加快制定出台绿色信贷业绩评估等办法，鼓励金融机构将绿色信贷业绩纳入考核。完善绿色数据披露要求，加强绿色数据收集和应用，搭建以绿色金融为导向的金融科技应用平台和多来源大数据整合应用，强化信息收集和追踪。依托木兰溪等生态品牌，积极推行市场化节能减排机制，完善既有区域性碳排放权和排污权交易市场</w:t>
            </w:r>
            <w:r>
              <w:rPr>
                <w:rFonts w:eastAsia="仿宋_GB2312" w:hint="eastAsia"/>
                <w:color w:val="000000"/>
              </w:rPr>
              <w:t>，引导金融机构为具有显著减排效应重点领域提供优惠利率融资，强化市场导向。</w:t>
            </w:r>
          </w:p>
          <w:p w:rsidR="000816CE" w:rsidRDefault="00FC7BEB">
            <w:pPr>
              <w:ind w:firstLine="643"/>
              <w:rPr>
                <w:rFonts w:eastAsia="仿宋_GB2312"/>
                <w:b/>
                <w:bCs/>
                <w:color w:val="000000"/>
              </w:rPr>
            </w:pPr>
            <w:r>
              <w:rPr>
                <w:rFonts w:eastAsia="仿宋_GB2312" w:hint="eastAsia"/>
                <w:b/>
                <w:bCs/>
                <w:color w:val="000000"/>
              </w:rPr>
              <w:t>——科技金融市场规范工程</w:t>
            </w:r>
          </w:p>
          <w:p w:rsidR="000816CE" w:rsidRDefault="00FC7BEB">
            <w:pPr>
              <w:ind w:firstLine="640"/>
              <w:rPr>
                <w:rFonts w:eastAsia="仿宋_GB2312"/>
                <w:color w:val="000000"/>
              </w:rPr>
            </w:pPr>
            <w:r>
              <w:rPr>
                <w:rFonts w:eastAsia="仿宋_GB2312" w:hint="eastAsia"/>
                <w:color w:val="000000"/>
              </w:rPr>
              <w:t>充分发挥市场机制作用，推进知识产权市场建设，形成对专利技术的价值评估体系，完善科技型企业的知识产权质押融资服务。加快设计和完善科技保险产品，开展科技成果转化贷款风险补偿，引导和支持科技型企业通过保险工具为技术创新活动化解风险。建立完整的公募科技基金体系，带动社会资本投入科技金融项目，合理平衡风险与收益，开辟多元化科技金融投融资渠道。</w:t>
            </w:r>
          </w:p>
          <w:p w:rsidR="000816CE" w:rsidRDefault="00FC7BEB">
            <w:pPr>
              <w:ind w:firstLine="643"/>
            </w:pPr>
            <w:r>
              <w:rPr>
                <w:rFonts w:eastAsia="仿宋_GB2312" w:hint="eastAsia"/>
                <w:b/>
                <w:bCs/>
              </w:rPr>
              <w:t>主要项目：</w:t>
            </w:r>
            <w:r>
              <w:rPr>
                <w:rFonts w:eastAsia="仿宋_GB2312" w:hint="eastAsia"/>
                <w:color w:val="000000"/>
              </w:rPr>
              <w:t>城厢区金融服务总部项目、现代金融街项目、莆田普惠金融信息服务平台、</w:t>
            </w:r>
            <w:r>
              <w:rPr>
                <w:rFonts w:eastAsia="仿宋_GB2312" w:hint="eastAsia"/>
                <w:color w:val="000000"/>
              </w:rPr>
              <w:t>莆田西互联网金融服务平台项目、莆田绿色金融大数据中心项目、莆田科技金融服务中心项目、木兰溪生态绿色金融项目。</w:t>
            </w:r>
          </w:p>
        </w:tc>
      </w:tr>
    </w:tbl>
    <w:p w:rsidR="000816CE" w:rsidRDefault="00FC7BEB" w:rsidP="006C0D30">
      <w:pPr>
        <w:pStyle w:val="2"/>
        <w:snapToGrid/>
        <w:spacing w:beforeLines="200" w:after="156"/>
        <w:ind w:firstLine="640"/>
        <w:rPr>
          <w:rFonts w:eastAsia="仿宋" w:hint="default"/>
        </w:rPr>
      </w:pPr>
      <w:bookmarkStart w:id="19" w:name="_Toc4465"/>
      <w:r>
        <w:lastRenderedPageBreak/>
        <w:t>（三）总部经济</w:t>
      </w:r>
      <w:bookmarkEnd w:id="19"/>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pPr>
      <w:r>
        <w:rPr>
          <w:rFonts w:hint="eastAsia"/>
        </w:rPr>
        <w:lastRenderedPageBreak/>
        <w:t>依托莆田市楼宇资源及产业优势，鼓励支持发展总部经济，积极引进全球服务业跨国公司，吸引大型企业集团、行业龙头企业、知名品牌企业及各类现代服务业企业在莆田设立区域总部、功能性总部。到</w:t>
      </w:r>
      <w:r>
        <w:rPr>
          <w:rFonts w:hint="eastAsia"/>
        </w:rPr>
        <w:t>2025</w:t>
      </w:r>
      <w:r>
        <w:rPr>
          <w:rFonts w:hint="eastAsia"/>
        </w:rPr>
        <w:t>年，力争全市新增各类总部企业</w:t>
      </w:r>
      <w:r>
        <w:t>25</w:t>
      </w:r>
      <w:r>
        <w:rPr>
          <w:rFonts w:hint="eastAsia"/>
        </w:rPr>
        <w:t>家。</w:t>
      </w:r>
    </w:p>
    <w:p w:rsidR="000816CE" w:rsidRDefault="00FC7BEB" w:rsidP="006C0D30">
      <w:pPr>
        <w:pStyle w:val="3"/>
        <w:spacing w:before="156" w:after="156"/>
        <w:ind w:firstLine="640"/>
        <w:rPr>
          <w:rFonts w:hint="default"/>
        </w:rPr>
      </w:pPr>
      <w:r>
        <w:t>2.</w:t>
      </w:r>
      <w:r>
        <w:t>主要任务</w:t>
      </w:r>
    </w:p>
    <w:p w:rsidR="000816CE" w:rsidRDefault="00FC7BEB">
      <w:pPr>
        <w:ind w:firstLine="640"/>
      </w:pPr>
      <w:r>
        <w:rPr>
          <w:rFonts w:hint="eastAsia"/>
        </w:rPr>
        <w:t>有序推进总部经济持续发展，优化总部企业招商、营商环境，大力引进大型企业总部，进而推动本土优势企业成长。</w:t>
      </w:r>
    </w:p>
    <w:p w:rsidR="000816CE" w:rsidRDefault="00FC7BEB" w:rsidP="006C0D30">
      <w:pPr>
        <w:ind w:firstLine="640"/>
      </w:pPr>
      <w:r>
        <w:rPr>
          <w:rFonts w:hint="eastAsia"/>
          <w:b/>
          <w:bCs/>
        </w:rPr>
        <w:t>完善总部经济统筹规划。</w:t>
      </w:r>
      <w:r>
        <w:rPr>
          <w:rFonts w:hint="eastAsia"/>
        </w:rPr>
        <w:t>结合莆田基础条件和特点，分阶段确定莆田市总部经济发展的思路和目标。以全市“一盘棋”统筹考虑区域间经济发展情况，根据各县区资源优势及产业基础，有针对性的引进建筑建材、跨境电商、民营医院、金银珠宝、民营加油站等多个行业总部型企业，打造差异化、特色化总部企业集群和总部经济集聚区。</w:t>
      </w:r>
    </w:p>
    <w:p w:rsidR="000816CE" w:rsidRDefault="00FC7BEB" w:rsidP="006C0D30">
      <w:pPr>
        <w:ind w:firstLine="640"/>
      </w:pPr>
      <w:r>
        <w:rPr>
          <w:rFonts w:hint="eastAsia"/>
          <w:b/>
          <w:bCs/>
        </w:rPr>
        <w:t>提升企业配套服务质量。</w:t>
      </w:r>
      <w:r>
        <w:rPr>
          <w:rFonts w:hint="eastAsia"/>
        </w:rPr>
        <w:t>吸收深圳、厦门等先进地区的</w:t>
      </w:r>
      <w:r>
        <w:rPr>
          <w:rFonts w:ascii="仿宋" w:hAnsi="仿宋" w:cs="仿宋" w:hint="eastAsia"/>
          <w:szCs w:val="40"/>
        </w:rPr>
        <w:t>总部经济发展经验，建立健全总部经济扶持政策体系</w:t>
      </w:r>
      <w:r>
        <w:rPr>
          <w:rFonts w:hint="eastAsia"/>
        </w:rPr>
        <w:t>，进一步完善总部企业认定标准、认定流程、资金扶持等措施办法。加快提升法</w:t>
      </w:r>
      <w:r>
        <w:rPr>
          <w:rFonts w:hint="eastAsia"/>
        </w:rPr>
        <w:lastRenderedPageBreak/>
        <w:t>律、会计、培训等服务企业在莆田设立区域总部或办事处</w:t>
      </w:r>
      <w:r>
        <w:rPr>
          <w:rFonts w:hint="eastAsia"/>
        </w:rPr>
        <w:t>，打造宜居的社区、学校、医疗机构，营造有利于总部企业招商落地和发展壮大的生态环境。</w:t>
      </w:r>
    </w:p>
    <w:p w:rsidR="000816CE" w:rsidRDefault="00FC7BEB" w:rsidP="006C0D30">
      <w:pPr>
        <w:ind w:firstLine="640"/>
      </w:pPr>
      <w:r>
        <w:rPr>
          <w:rFonts w:hint="eastAsia"/>
          <w:b/>
          <w:bCs/>
        </w:rPr>
        <w:t>强化地方上下沟通联动。</w:t>
      </w:r>
      <w:r>
        <w:rPr>
          <w:rFonts w:hint="eastAsia"/>
        </w:rPr>
        <w:t>针对地方财力留成较低的情况，采取“向上争取政策支持，向下让利县区发展”的方针，形成强大工作合力，促进莆田市总部经济发展。积极争取省级支持，促进省财政加强对莆田总部企业的扶持力度。鼓励各县区积极引进总部企业，对符合认定标准的，市财政在资金政策上给予扶持，充分调动各地区发展总部经济的积极性。</w:t>
      </w:r>
    </w:p>
    <w:tbl>
      <w:tblPr>
        <w:tblStyle w:val="ac"/>
        <w:tblW w:w="9140" w:type="dxa"/>
        <w:tblLayout w:type="fixed"/>
        <w:tblLook w:val="04A0"/>
      </w:tblPr>
      <w:tblGrid>
        <w:gridCol w:w="9140"/>
      </w:tblGrid>
      <w:tr w:rsidR="000816CE">
        <w:tc>
          <w:tcPr>
            <w:tcW w:w="9140" w:type="dxa"/>
            <w:shd w:val="clear" w:color="auto" w:fill="DAEEF3"/>
          </w:tcPr>
          <w:p w:rsidR="000816CE" w:rsidRDefault="00FC7BEB">
            <w:pPr>
              <w:pStyle w:val="a6"/>
              <w:snapToGrid/>
            </w:pPr>
            <w:r>
              <w:rPr>
                <w:rFonts w:hint="eastAsia"/>
              </w:rPr>
              <w:t>专栏</w:t>
            </w:r>
            <w:r>
              <w:rPr>
                <w:rFonts w:hint="eastAsia"/>
              </w:rPr>
              <w:t xml:space="preserve">3  </w:t>
            </w:r>
            <w:r>
              <w:rPr>
                <w:rFonts w:hint="eastAsia"/>
              </w:rPr>
              <w:t>总部经济引培提档工程</w:t>
            </w:r>
          </w:p>
        </w:tc>
      </w:tr>
      <w:tr w:rsidR="000816CE">
        <w:tc>
          <w:tcPr>
            <w:tcW w:w="9140" w:type="dxa"/>
          </w:tcPr>
          <w:p w:rsidR="000816CE" w:rsidRDefault="00FC7BEB" w:rsidP="006C0D30">
            <w:pPr>
              <w:spacing w:beforeLines="50"/>
              <w:ind w:firstLine="643"/>
              <w:rPr>
                <w:rFonts w:ascii="仿宋_GB2312" w:eastAsia="仿宋_GB2312" w:hAnsi="仿宋"/>
              </w:rPr>
            </w:pPr>
            <w:r>
              <w:rPr>
                <w:rFonts w:ascii="仿宋_GB2312" w:eastAsia="仿宋_GB2312" w:hAnsi="仿宋" w:hint="eastAsia"/>
                <w:b/>
                <w:bCs/>
              </w:rPr>
              <w:t>——总部企业引进培育工程</w:t>
            </w:r>
          </w:p>
          <w:p w:rsidR="000816CE" w:rsidRDefault="00FC7BEB">
            <w:pPr>
              <w:ind w:firstLine="640"/>
              <w:rPr>
                <w:rFonts w:ascii="仿宋" w:hAnsi="仿宋" w:cs="仿宋"/>
                <w:szCs w:val="40"/>
              </w:rPr>
            </w:pPr>
            <w:r>
              <w:rPr>
                <w:rFonts w:ascii="仿宋_GB2312" w:eastAsia="仿宋_GB2312" w:hAnsi="仿宋" w:hint="eastAsia"/>
              </w:rPr>
              <w:t>结合莆田特色优势，通过优化配套服务、优化发展空间、完善政</w:t>
            </w:r>
            <w:r>
              <w:rPr>
                <w:rFonts w:ascii="仿宋_GB2312" w:eastAsia="仿宋_GB2312" w:hAnsi="仿宋" w:hint="eastAsia"/>
              </w:rPr>
              <w:t>策支撑，围绕</w:t>
            </w:r>
            <w:r>
              <w:rPr>
                <w:rFonts w:eastAsia="仿宋_GB2312"/>
              </w:rPr>
              <w:t>先进制造业、现代服务业、高新技术产业和优势传统产业</w:t>
            </w:r>
            <w:r>
              <w:rPr>
                <w:rFonts w:eastAsia="仿宋_GB2312" w:hint="eastAsia"/>
              </w:rPr>
              <w:t>，吸引莆商莆智回归，引进一批建筑建材、民营医院等领域的大型企业集团、行业龙头企业等总部企业在莆落地，设立综合型总部企业或研发中心、结算中心等职能型总部。</w:t>
            </w:r>
            <w:r>
              <w:rPr>
                <w:rFonts w:ascii="仿宋" w:hAnsi="仿宋" w:cs="仿宋" w:hint="eastAsia"/>
                <w:szCs w:val="40"/>
              </w:rPr>
              <w:t>引进金融、电商等产业的“成长型”企业总部，加快总部集聚区建设，促</w:t>
            </w:r>
            <w:r>
              <w:rPr>
                <w:rFonts w:ascii="仿宋" w:hAnsi="仿宋" w:cs="仿宋" w:hint="eastAsia"/>
                <w:szCs w:val="40"/>
              </w:rPr>
              <w:lastRenderedPageBreak/>
              <w:t>进城市内生总部企业培育。</w:t>
            </w:r>
          </w:p>
          <w:p w:rsidR="000816CE" w:rsidRDefault="00FC7BEB" w:rsidP="006C0D30">
            <w:pPr>
              <w:snapToGrid/>
              <w:ind w:firstLine="640"/>
              <w:rPr>
                <w:b/>
                <w:bCs/>
              </w:rPr>
            </w:pPr>
            <w:r>
              <w:rPr>
                <w:rFonts w:hint="eastAsia"/>
                <w:b/>
                <w:bCs/>
              </w:rPr>
              <w:t>——总部经济发展环境提升工程</w:t>
            </w:r>
          </w:p>
          <w:p w:rsidR="000816CE" w:rsidRDefault="00FC7BEB">
            <w:pPr>
              <w:spacing w:before="156" w:after="156"/>
              <w:ind w:firstLine="640"/>
            </w:pPr>
            <w:r>
              <w:rPr>
                <w:rFonts w:ascii="仿宋" w:hAnsi="仿宋" w:cs="仿宋" w:hint="eastAsia"/>
                <w:szCs w:val="40"/>
              </w:rPr>
              <w:t>优化工商集群注册服务，在商务楼宇、城市综合体等条件成熟的区域设立工商事物服务站点；加强总部商务区配套路网、休闲公园、电力设施等配套设施建设；</w:t>
            </w:r>
            <w:r>
              <w:rPr>
                <w:rFonts w:ascii="仿宋_GB2312" w:eastAsia="仿宋_GB2312" w:hAnsi="仿宋" w:cs="仿宋" w:hint="eastAsia"/>
              </w:rPr>
              <w:t>依托“党建</w:t>
            </w:r>
            <w:r>
              <w:rPr>
                <w:rFonts w:ascii="仿宋_GB2312" w:eastAsia="仿宋_GB2312" w:hAnsi="仿宋" w:cs="仿宋" w:hint="eastAsia"/>
              </w:rPr>
              <w:t>+</w:t>
            </w:r>
            <w:r>
              <w:rPr>
                <w:rFonts w:ascii="仿宋_GB2312" w:eastAsia="仿宋_GB2312" w:hAnsi="仿宋" w:cs="仿宋" w:hint="eastAsia"/>
              </w:rPr>
              <w:t>”邻里中心，发挥社会化配套服务企业功能，着重培育和引进与商务楼宇需求相一致的餐饮、教育、健身、医疗等配套机构。</w:t>
            </w:r>
            <w:r>
              <w:rPr>
                <w:rFonts w:ascii="仿宋_GB2312" w:eastAsia="仿宋_GB2312" w:hAnsi="仿宋" w:hint="eastAsia"/>
              </w:rPr>
              <w:t>积极发展引进财务管理、投资运营管理、商务、中介服务、金融服务等新兴业态。</w:t>
            </w:r>
          </w:p>
          <w:p w:rsidR="000816CE" w:rsidRDefault="00FC7BEB" w:rsidP="006C0D30">
            <w:pPr>
              <w:ind w:firstLine="640"/>
              <w:rPr>
                <w:rFonts w:ascii="仿宋_GB2312" w:eastAsia="仿宋_GB2312" w:hAnsi="仿宋"/>
              </w:rPr>
            </w:pPr>
            <w:r>
              <w:rPr>
                <w:rFonts w:ascii="仿宋" w:hAnsi="仿宋" w:cs="仿宋" w:hint="eastAsia"/>
                <w:b/>
                <w:bCs/>
                <w:szCs w:val="40"/>
              </w:rPr>
              <w:t>主要项目：</w:t>
            </w:r>
            <w:r>
              <w:rPr>
                <w:rFonts w:ascii="仿宋_GB2312" w:eastAsia="仿宋_GB2312" w:hAnsi="仿宋_GB2312" w:cs="仿宋_GB2312" w:hint="eastAsia"/>
              </w:rPr>
              <w:t>洪奥国贸总部大楼项目、城厢金融总部项目、农商总部大楼项目、总部服务平台项目。</w:t>
            </w:r>
          </w:p>
        </w:tc>
      </w:tr>
    </w:tbl>
    <w:p w:rsidR="000816CE" w:rsidRDefault="00FC7BEB" w:rsidP="006C0D30">
      <w:pPr>
        <w:pStyle w:val="2"/>
        <w:snapToGrid/>
        <w:spacing w:beforeLines="100" w:after="156"/>
        <w:ind w:firstLine="640"/>
        <w:rPr>
          <w:rFonts w:eastAsia="仿宋" w:hint="default"/>
        </w:rPr>
      </w:pPr>
      <w:bookmarkStart w:id="20" w:name="_Toc28964"/>
      <w:r>
        <w:lastRenderedPageBreak/>
        <w:t>（四）现代物流</w:t>
      </w:r>
      <w:bookmarkEnd w:id="20"/>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rPr>
          <w:rFonts w:eastAsia="仿宋_GB2312"/>
          <w:color w:val="000000" w:themeColor="text1"/>
        </w:rPr>
      </w:pPr>
      <w:r>
        <w:rPr>
          <w:rFonts w:eastAsia="仿宋_GB2312" w:hint="eastAsia"/>
          <w:color w:val="000000" w:themeColor="text1"/>
        </w:rPr>
        <w:t>全面推进现代物流业高质量发展，加快构建“立足市域、辐射区域、联通周边、面向国际”的现代物流体系，形成层次分明、功能完善、布局合理、符合莆田市经济社会发展需求的物流网络，使现代物流产业成为莆</w:t>
      </w:r>
      <w:r>
        <w:rPr>
          <w:rFonts w:eastAsia="仿宋_GB2312" w:hint="eastAsia"/>
          <w:color w:val="000000" w:themeColor="text1"/>
        </w:rPr>
        <w:t>田市经济发展新的增长点。到</w:t>
      </w:r>
      <w:r>
        <w:rPr>
          <w:rFonts w:eastAsia="仿宋_GB2312" w:hint="eastAsia"/>
          <w:color w:val="000000" w:themeColor="text1"/>
        </w:rPr>
        <w:t>2</w:t>
      </w:r>
      <w:r>
        <w:rPr>
          <w:rFonts w:eastAsia="仿宋_GB2312"/>
          <w:color w:val="000000" w:themeColor="text1"/>
        </w:rPr>
        <w:t>025</w:t>
      </w:r>
      <w:r>
        <w:rPr>
          <w:rFonts w:eastAsia="仿宋_GB2312" w:hint="eastAsia"/>
          <w:color w:val="000000" w:themeColor="text1"/>
        </w:rPr>
        <w:t>年，全市货运量突破</w:t>
      </w:r>
      <w:r>
        <w:rPr>
          <w:rFonts w:eastAsia="仿宋_GB2312"/>
          <w:color w:val="0000FF"/>
        </w:rPr>
        <w:t>6500</w:t>
      </w:r>
      <w:r>
        <w:rPr>
          <w:rFonts w:eastAsia="仿宋_GB2312" w:hint="eastAsia"/>
          <w:color w:val="000000" w:themeColor="text1"/>
        </w:rPr>
        <w:t>万吨</w:t>
      </w:r>
      <w:r>
        <w:rPr>
          <w:rFonts w:eastAsia="仿宋_GB2312" w:hint="eastAsia"/>
        </w:rPr>
        <w:t>，</w:t>
      </w:r>
      <w:r>
        <w:rPr>
          <w:rFonts w:eastAsia="仿宋_GB2312" w:hint="eastAsia"/>
          <w:color w:val="000000" w:themeColor="text1"/>
        </w:rPr>
        <w:t>港口货物吞吐量突破</w:t>
      </w:r>
      <w:r>
        <w:rPr>
          <w:rFonts w:eastAsia="仿宋_GB2312"/>
          <w:color w:val="0000FF"/>
        </w:rPr>
        <w:t>9400</w:t>
      </w:r>
      <w:r>
        <w:rPr>
          <w:rFonts w:eastAsia="仿宋_GB2312" w:hint="eastAsia"/>
          <w:color w:val="000000" w:themeColor="text1"/>
        </w:rPr>
        <w:t>万吨，</w:t>
      </w:r>
      <w:r>
        <w:rPr>
          <w:rFonts w:hint="eastAsia"/>
        </w:rPr>
        <w:t>培育</w:t>
      </w:r>
      <w:r>
        <w:rPr>
          <w:rFonts w:hint="eastAsia"/>
        </w:rPr>
        <w:t>3-5</w:t>
      </w:r>
      <w:r>
        <w:t>家省级以上示范物流园区</w:t>
      </w:r>
      <w:r>
        <w:rPr>
          <w:rFonts w:eastAsia="仿宋_GB2312" w:hint="eastAsia"/>
          <w:color w:val="000000" w:themeColor="text1"/>
        </w:rPr>
        <w:t>。</w:t>
      </w:r>
    </w:p>
    <w:p w:rsidR="000816CE" w:rsidRDefault="00FC7BEB" w:rsidP="006C0D30">
      <w:pPr>
        <w:pStyle w:val="3"/>
        <w:spacing w:before="156" w:after="156"/>
        <w:ind w:firstLine="640"/>
        <w:rPr>
          <w:rFonts w:hint="default"/>
        </w:rPr>
      </w:pPr>
      <w:r>
        <w:lastRenderedPageBreak/>
        <w:t>2.</w:t>
      </w:r>
      <w:r>
        <w:t>主要任务</w:t>
      </w:r>
    </w:p>
    <w:p w:rsidR="000816CE" w:rsidRDefault="00FC7BEB">
      <w:pPr>
        <w:ind w:firstLine="640"/>
      </w:pPr>
      <w:r>
        <w:rPr>
          <w:rFonts w:eastAsia="仿宋_GB2312" w:hint="eastAsia"/>
          <w:color w:val="000000" w:themeColor="text1"/>
        </w:rPr>
        <w:t>立足莆田市现代物流产业发展实际，对标先进、补齐短板，积极营造物流产业发展新环境，</w:t>
      </w:r>
      <w:r>
        <w:rPr>
          <w:rFonts w:hint="eastAsia"/>
        </w:rPr>
        <w:t>健全优化现代物流体系，全面推动莆田市现代物流业高质量发展。</w:t>
      </w:r>
    </w:p>
    <w:p w:rsidR="000816CE" w:rsidRDefault="00FC7BEB" w:rsidP="006C0D30">
      <w:pPr>
        <w:pStyle w:val="a7"/>
        <w:ind w:firstLine="640"/>
        <w:rPr>
          <w:rFonts w:ascii="仿宋" w:hAnsi="仿宋" w:cs="仿宋"/>
          <w:sz w:val="32"/>
          <w:szCs w:val="32"/>
        </w:rPr>
      </w:pPr>
      <w:r>
        <w:rPr>
          <w:rFonts w:ascii="仿宋" w:hAnsi="仿宋" w:cs="仿宋" w:hint="eastAsia"/>
          <w:b/>
          <w:bCs/>
          <w:sz w:val="32"/>
          <w:szCs w:val="32"/>
        </w:rPr>
        <w:t>推动完善现代物流体系。</w:t>
      </w:r>
      <w:r>
        <w:rPr>
          <w:rFonts w:ascii="仿宋" w:hAnsi="仿宋" w:cs="仿宋"/>
          <w:sz w:val="32"/>
          <w:szCs w:val="32"/>
        </w:rPr>
        <w:t>推进物流资源区域协同与整合，大力发展海铁、公铁等多式联运和甩挂运输，推进港城联动，辐射内陆腹地，加快形成</w:t>
      </w:r>
      <w:r>
        <w:rPr>
          <w:rFonts w:ascii="仿宋" w:hAnsi="仿宋" w:cs="仿宋"/>
          <w:sz w:val="32"/>
          <w:szCs w:val="32"/>
        </w:rPr>
        <w:t>“</w:t>
      </w:r>
      <w:r>
        <w:rPr>
          <w:rFonts w:ascii="仿宋" w:hAnsi="仿宋" w:cs="仿宋"/>
          <w:sz w:val="32"/>
          <w:szCs w:val="32"/>
        </w:rPr>
        <w:t>通道</w:t>
      </w:r>
      <w:r>
        <w:rPr>
          <w:rFonts w:ascii="仿宋" w:hAnsi="仿宋" w:cs="仿宋"/>
          <w:sz w:val="32"/>
          <w:szCs w:val="32"/>
        </w:rPr>
        <w:t>+</w:t>
      </w:r>
      <w:r>
        <w:rPr>
          <w:rFonts w:ascii="仿宋" w:hAnsi="仿宋" w:cs="仿宋"/>
          <w:sz w:val="32"/>
          <w:szCs w:val="32"/>
        </w:rPr>
        <w:t>枢纽</w:t>
      </w:r>
      <w:r>
        <w:rPr>
          <w:rFonts w:ascii="仿宋" w:hAnsi="仿宋" w:cs="仿宋"/>
          <w:sz w:val="32"/>
          <w:szCs w:val="32"/>
        </w:rPr>
        <w:t>+</w:t>
      </w:r>
      <w:r>
        <w:rPr>
          <w:rFonts w:ascii="仿宋" w:hAnsi="仿宋" w:cs="仿宋"/>
          <w:sz w:val="32"/>
          <w:szCs w:val="32"/>
        </w:rPr>
        <w:t>网络</w:t>
      </w:r>
      <w:r>
        <w:rPr>
          <w:rFonts w:ascii="仿宋" w:hAnsi="仿宋" w:cs="仿宋"/>
          <w:sz w:val="32"/>
          <w:szCs w:val="32"/>
        </w:rPr>
        <w:t>”</w:t>
      </w:r>
      <w:r>
        <w:rPr>
          <w:rFonts w:ascii="仿宋" w:hAnsi="仿宋" w:cs="仿宋"/>
          <w:sz w:val="32"/>
          <w:szCs w:val="32"/>
        </w:rPr>
        <w:t>的现代物流运行体系。</w:t>
      </w:r>
      <w:r>
        <w:rPr>
          <w:rFonts w:eastAsia="仿宋_GB2312" w:hint="eastAsia"/>
          <w:color w:val="000000" w:themeColor="text1"/>
          <w:sz w:val="32"/>
          <w:szCs w:val="32"/>
        </w:rPr>
        <w:t>大力发展港口物流、冷链物流、电商快递物流、制造业物流等专业物流，</w:t>
      </w:r>
      <w:r>
        <w:rPr>
          <w:rFonts w:ascii="仿宋" w:hAnsi="仿宋" w:cs="仿宋"/>
          <w:sz w:val="32"/>
          <w:szCs w:val="32"/>
        </w:rPr>
        <w:t>推动发展无人配送、分时配送、共同配送等先进物流组织方式，推进多式联运等运输方式，提升物流数智化、绿色化、国际化水平</w:t>
      </w:r>
      <w:r>
        <w:rPr>
          <w:rFonts w:ascii="仿宋" w:hAnsi="仿宋" w:cs="仿宋" w:hint="eastAsia"/>
          <w:sz w:val="32"/>
          <w:szCs w:val="32"/>
        </w:rPr>
        <w:t>。发展特色化城乡配送网络，建立社区服务站模式，优化城乡最后一公里配送服务。</w:t>
      </w:r>
    </w:p>
    <w:p w:rsidR="000816CE" w:rsidRDefault="00FC7BEB" w:rsidP="006C0D30">
      <w:pPr>
        <w:pStyle w:val="a7"/>
        <w:ind w:firstLine="640"/>
        <w:rPr>
          <w:rFonts w:ascii="仿宋_GB2312" w:eastAsia="仿宋_GB2312" w:hAnsi="仿宋_GB2312" w:cs="仿宋_GB2312"/>
          <w:color w:val="000000"/>
          <w:kern w:val="0"/>
          <w:sz w:val="31"/>
          <w:szCs w:val="31"/>
        </w:rPr>
      </w:pPr>
      <w:r>
        <w:rPr>
          <w:rFonts w:ascii="仿宋" w:hAnsi="仿宋" w:cs="仿宋" w:hint="eastAsia"/>
          <w:b/>
          <w:bCs/>
          <w:sz w:val="32"/>
          <w:szCs w:val="32"/>
        </w:rPr>
        <w:t>推进现代</w:t>
      </w:r>
      <w:r>
        <w:rPr>
          <w:rFonts w:ascii="仿宋_GB2312" w:eastAsia="仿宋_GB2312" w:hint="eastAsia"/>
          <w:b/>
          <w:bCs/>
          <w:sz w:val="32"/>
          <w:szCs w:val="32"/>
        </w:rPr>
        <w:t>物流园区建设。</w:t>
      </w:r>
      <w:r>
        <w:rPr>
          <w:rFonts w:ascii="仿宋_GB2312" w:eastAsia="仿宋_GB2312" w:hint="eastAsia"/>
          <w:sz w:val="32"/>
          <w:szCs w:val="32"/>
        </w:rPr>
        <w:t>合理布局配送节点，加快推进物流港、智慧物流产业园、智能仓储物流中心等综合性物流园区建设，构建“综合性物流园区</w:t>
      </w:r>
      <w:r>
        <w:rPr>
          <w:rFonts w:ascii="仿宋_GB2312" w:eastAsia="仿宋_GB2312" w:hint="eastAsia"/>
          <w:sz w:val="32"/>
          <w:szCs w:val="32"/>
        </w:rPr>
        <w:t>-</w:t>
      </w:r>
      <w:r>
        <w:rPr>
          <w:rFonts w:ascii="仿宋_GB2312" w:eastAsia="仿宋_GB2312" w:hint="eastAsia"/>
          <w:sz w:val="32"/>
          <w:szCs w:val="32"/>
        </w:rPr>
        <w:t>专业物流中心</w:t>
      </w:r>
      <w:r>
        <w:rPr>
          <w:rFonts w:ascii="仿宋_GB2312" w:eastAsia="仿宋_GB2312" w:hint="eastAsia"/>
          <w:sz w:val="32"/>
          <w:szCs w:val="32"/>
        </w:rPr>
        <w:t>-</w:t>
      </w:r>
      <w:r>
        <w:rPr>
          <w:rFonts w:ascii="仿宋_GB2312" w:eastAsia="仿宋_GB2312" w:hint="eastAsia"/>
          <w:sz w:val="32"/>
          <w:szCs w:val="32"/>
        </w:rPr>
        <w:t>配送中心”三级配送体系。</w:t>
      </w:r>
      <w:r>
        <w:rPr>
          <w:rFonts w:ascii="仿宋_GB2312" w:eastAsia="仿宋_GB2312" w:hAnsi="仿宋_GB2312" w:cs="仿宋_GB2312"/>
          <w:color w:val="000000"/>
          <w:kern w:val="0"/>
          <w:sz w:val="31"/>
          <w:szCs w:val="31"/>
        </w:rPr>
        <w:t>在港口、铁路和道路交通枢纽，建设以多式联运、大宗货物转运等功能为主的货运枢纽型物流园区</w:t>
      </w:r>
      <w:r>
        <w:rPr>
          <w:rFonts w:ascii="仿宋_GB2312" w:eastAsia="仿宋_GB2312" w:hAnsi="仿宋_GB2312" w:cs="仿宋_GB2312" w:hint="eastAsia"/>
          <w:color w:val="000000"/>
          <w:kern w:val="0"/>
          <w:sz w:val="31"/>
          <w:szCs w:val="31"/>
        </w:rPr>
        <w:t>；</w:t>
      </w:r>
      <w:r>
        <w:rPr>
          <w:rFonts w:ascii="仿宋_GB2312" w:eastAsia="仿宋_GB2312" w:hAnsi="仿宋_GB2312" w:cs="仿宋_GB2312" w:hint="eastAsia"/>
          <w:color w:val="000000"/>
          <w:kern w:val="0"/>
          <w:sz w:val="31"/>
          <w:szCs w:val="31"/>
        </w:rPr>
        <w:t>在毗邻工业园区、产业集聚区，建设以提供供应链一体化服务为主的生产服务型物流园区。</w:t>
      </w:r>
    </w:p>
    <w:p w:rsidR="000816CE" w:rsidRDefault="00FC7BEB" w:rsidP="006C0D30">
      <w:pPr>
        <w:pStyle w:val="a7"/>
        <w:ind w:firstLine="640"/>
        <w:rPr>
          <w:rFonts w:ascii="仿宋" w:hAnsi="仿宋" w:cs="仿宋"/>
          <w:sz w:val="32"/>
          <w:szCs w:val="32"/>
        </w:rPr>
      </w:pPr>
      <w:r>
        <w:rPr>
          <w:rFonts w:ascii="仿宋" w:hAnsi="仿宋" w:cs="仿宋" w:hint="eastAsia"/>
          <w:b/>
          <w:bCs/>
          <w:sz w:val="32"/>
          <w:szCs w:val="32"/>
        </w:rPr>
        <w:lastRenderedPageBreak/>
        <w:t>培育壮大物流市场主体。</w:t>
      </w:r>
      <w:r>
        <w:rPr>
          <w:rFonts w:ascii="仿宋" w:hAnsi="仿宋" w:cs="仿宋" w:hint="eastAsia"/>
          <w:sz w:val="32"/>
          <w:szCs w:val="32"/>
        </w:rPr>
        <w:t>鼓励物流企业以联盟、兼并、收购等方式加快自身做大做强。鼓励从事相同或相似的物流专线、仓储企业抱团发展，避免行业过度竞争。</w:t>
      </w:r>
      <w:r>
        <w:rPr>
          <w:rFonts w:ascii="仿宋" w:hAnsi="仿宋" w:cs="仿宋"/>
          <w:sz w:val="32"/>
          <w:szCs w:val="32"/>
        </w:rPr>
        <w:t>重点培育一批发展前景广阔、运营模式先进、核心竞争力强的大型物流企业，引导社会资源、行业资源向龙头企业集聚，提高龙头企业核心产品竞争力。</w:t>
      </w:r>
    </w:p>
    <w:p w:rsidR="000816CE" w:rsidRDefault="00FC7BEB" w:rsidP="006C0D30">
      <w:pPr>
        <w:ind w:firstLine="640"/>
      </w:pPr>
      <w:r>
        <w:rPr>
          <w:rFonts w:ascii="仿宋" w:hAnsi="仿宋" w:cs="仿宋" w:hint="eastAsia"/>
          <w:b/>
          <w:bCs/>
        </w:rPr>
        <w:t>持续</w:t>
      </w:r>
      <w:r>
        <w:rPr>
          <w:rFonts w:hint="eastAsia"/>
          <w:b/>
          <w:bCs/>
        </w:rPr>
        <w:t>推进</w:t>
      </w:r>
      <w:r>
        <w:rPr>
          <w:b/>
          <w:bCs/>
        </w:rPr>
        <w:t>智慧物流</w:t>
      </w:r>
      <w:r>
        <w:rPr>
          <w:rFonts w:hint="eastAsia"/>
          <w:b/>
          <w:bCs/>
        </w:rPr>
        <w:t>发展</w:t>
      </w:r>
      <w:r>
        <w:rPr>
          <w:b/>
          <w:bCs/>
        </w:rPr>
        <w:t>。</w:t>
      </w:r>
      <w:r>
        <w:rPr>
          <w:rFonts w:hint="eastAsia"/>
        </w:rPr>
        <w:t>推进物流智慧化建设，加强数字物流基础设施建设，加快货、车、场等物流要素数字化，推进“互联网</w:t>
      </w:r>
      <w:r>
        <w:t>+</w:t>
      </w:r>
      <w:r>
        <w:t>供应链管理</w:t>
      </w:r>
      <w:r>
        <w:rPr>
          <w:rFonts w:hint="eastAsia"/>
        </w:rPr>
        <w:t>”</w:t>
      </w:r>
      <w:r>
        <w:t>和</w:t>
      </w:r>
      <w:r>
        <w:rPr>
          <w:rFonts w:hint="eastAsia"/>
        </w:rPr>
        <w:t>“</w:t>
      </w:r>
      <w:r>
        <w:t>物联网</w:t>
      </w:r>
      <w:r>
        <w:t>+</w:t>
      </w:r>
      <w:r>
        <w:t>全程监管</w:t>
      </w:r>
      <w:r>
        <w:rPr>
          <w:rFonts w:hint="eastAsia"/>
        </w:rPr>
        <w:t>”</w:t>
      </w:r>
      <w:r>
        <w:rPr>
          <w:rFonts w:ascii="仿宋" w:hAnsi="仿宋" w:cs="仿宋"/>
        </w:rPr>
        <w:t>，扶持</w:t>
      </w:r>
      <w:r>
        <w:rPr>
          <w:rFonts w:ascii="仿宋" w:hAnsi="仿宋" w:cs="仿宋"/>
        </w:rPr>
        <w:t>“</w:t>
      </w:r>
      <w:r>
        <w:rPr>
          <w:rFonts w:ascii="仿宋" w:hAnsi="仿宋" w:cs="仿宋"/>
        </w:rPr>
        <w:t>互联网</w:t>
      </w:r>
      <w:r>
        <w:rPr>
          <w:rFonts w:ascii="仿宋" w:hAnsi="仿宋" w:cs="仿宋"/>
        </w:rPr>
        <w:t>+”</w:t>
      </w:r>
      <w:r>
        <w:rPr>
          <w:rFonts w:ascii="仿宋" w:hAnsi="仿宋" w:cs="仿宋"/>
        </w:rPr>
        <w:t>平台型物流企业发展。</w:t>
      </w:r>
      <w:r>
        <w:t>加快建设本土智慧物流公共信息平台</w:t>
      </w:r>
      <w:r>
        <w:rPr>
          <w:rFonts w:hint="eastAsia"/>
        </w:rPr>
        <w:t>，</w:t>
      </w:r>
      <w:r>
        <w:t>鼓励重点物流园区加快物流信息化改造</w:t>
      </w:r>
      <w:r>
        <w:rPr>
          <w:rFonts w:ascii="仿宋" w:hAnsi="仿宋" w:cs="仿宋"/>
        </w:rPr>
        <w:t>，建设全</w:t>
      </w:r>
      <w:r>
        <w:rPr>
          <w:rFonts w:ascii="仿宋" w:hAnsi="仿宋" w:cs="仿宋" w:hint="eastAsia"/>
        </w:rPr>
        <w:t>省</w:t>
      </w:r>
      <w:r>
        <w:rPr>
          <w:rFonts w:ascii="仿宋" w:hAnsi="仿宋" w:cs="仿宋"/>
        </w:rPr>
        <w:t>智慧物流发展示范区。</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0"/>
      </w:tblGrid>
      <w:tr w:rsidR="000816CE">
        <w:trPr>
          <w:jc w:val="center"/>
        </w:trPr>
        <w:tc>
          <w:tcPr>
            <w:tcW w:w="9140" w:type="dxa"/>
            <w:shd w:val="clear" w:color="auto" w:fill="DAEEF3" w:themeFill="accent5" w:themeFillTint="33"/>
          </w:tcPr>
          <w:p w:rsidR="000816CE" w:rsidRDefault="00FC7BEB">
            <w:pPr>
              <w:adjustRightInd/>
              <w:snapToGrid/>
              <w:ind w:firstLine="643"/>
              <w:jc w:val="center"/>
              <w:rPr>
                <w:rFonts w:ascii="仿宋_GB2312" w:eastAsia="仿宋_GB2312" w:hAnsi="楷体" w:cs="楷体"/>
                <w:b/>
                <w:color w:val="000000" w:themeColor="text1"/>
                <w:sz w:val="28"/>
                <w:szCs w:val="28"/>
              </w:rPr>
            </w:pPr>
            <w:r>
              <w:rPr>
                <w:rFonts w:ascii="仿宋_GB2312" w:eastAsia="仿宋_GB2312" w:hAnsi="楷体" w:cs="楷体" w:hint="eastAsia"/>
                <w:b/>
                <w:color w:val="000000" w:themeColor="text1"/>
              </w:rPr>
              <w:t>专栏</w:t>
            </w:r>
            <w:r>
              <w:rPr>
                <w:rFonts w:ascii="仿宋_GB2312" w:eastAsia="仿宋_GB2312" w:hAnsi="楷体" w:cs="楷体" w:hint="eastAsia"/>
                <w:b/>
                <w:color w:val="000000" w:themeColor="text1"/>
              </w:rPr>
              <w:t>4</w:t>
            </w:r>
            <w:r>
              <w:rPr>
                <w:rFonts w:ascii="仿宋_GB2312" w:eastAsia="仿宋_GB2312" w:hAnsi="楷体" w:cs="楷体"/>
                <w:b/>
                <w:color w:val="000000" w:themeColor="text1"/>
              </w:rPr>
              <w:t xml:space="preserve"> </w:t>
            </w:r>
            <w:r>
              <w:rPr>
                <w:rFonts w:ascii="仿宋_GB2312" w:eastAsia="仿宋_GB2312" w:hAnsi="楷体" w:cs="楷体"/>
                <w:b/>
                <w:color w:val="000000" w:themeColor="text1"/>
              </w:rPr>
              <w:t>现代物流</w:t>
            </w:r>
            <w:r>
              <w:rPr>
                <w:rFonts w:ascii="仿宋_GB2312" w:eastAsia="仿宋_GB2312" w:hAnsi="楷体" w:cs="楷体" w:hint="eastAsia"/>
                <w:b/>
                <w:color w:val="000000" w:themeColor="text1"/>
              </w:rPr>
              <w:t>高质量发展工程</w:t>
            </w:r>
          </w:p>
        </w:tc>
      </w:tr>
      <w:tr w:rsidR="000816CE">
        <w:trPr>
          <w:jc w:val="center"/>
        </w:trPr>
        <w:tc>
          <w:tcPr>
            <w:tcW w:w="9140" w:type="dxa"/>
            <w:shd w:val="clear" w:color="auto" w:fill="auto"/>
          </w:tcPr>
          <w:p w:rsidR="000816CE" w:rsidRDefault="00FC7BEB" w:rsidP="006C0D30">
            <w:pPr>
              <w:pStyle w:val="a7"/>
              <w:snapToGrid/>
              <w:ind w:firstLine="640"/>
              <w:rPr>
                <w:b/>
                <w:bCs/>
                <w:sz w:val="32"/>
                <w:szCs w:val="32"/>
              </w:rPr>
            </w:pPr>
            <w:r>
              <w:rPr>
                <w:rFonts w:hint="eastAsia"/>
                <w:b/>
                <w:bCs/>
                <w:sz w:val="32"/>
                <w:szCs w:val="32"/>
              </w:rPr>
              <w:t>——港口物流数字化工程</w:t>
            </w:r>
          </w:p>
          <w:p w:rsidR="000816CE" w:rsidRDefault="00FC7BEB">
            <w:pPr>
              <w:pStyle w:val="a7"/>
              <w:snapToGrid/>
              <w:ind w:firstLine="640"/>
              <w:rPr>
                <w:sz w:val="32"/>
                <w:szCs w:val="32"/>
              </w:rPr>
            </w:pPr>
            <w:r>
              <w:rPr>
                <w:sz w:val="32"/>
                <w:szCs w:val="32"/>
              </w:rPr>
              <w:t>发挥湄洲湾深水港口和海铁联运的立体集疏运网络优势，</w:t>
            </w:r>
            <w:r>
              <w:rPr>
                <w:rFonts w:hint="eastAsia"/>
                <w:sz w:val="32"/>
                <w:szCs w:val="32"/>
              </w:rPr>
              <w:t>重点加快国投莆田国际物流港项目等建设，完善港口后方集疏运体系，积极探索</w:t>
            </w:r>
            <w:r>
              <w:rPr>
                <w:rFonts w:hint="eastAsia"/>
                <w:sz w:val="32"/>
                <w:szCs w:val="32"/>
              </w:rPr>
              <w:t>5G+MEC</w:t>
            </w:r>
            <w:r>
              <w:rPr>
                <w:rFonts w:hint="eastAsia"/>
                <w:sz w:val="32"/>
                <w:szCs w:val="32"/>
              </w:rPr>
              <w:t>技术与智慧港口信息化建设，提升港口现代化管理服务水平。鼓励发展船舶运输业及航运金融、航运经纪、航运咨询、航运信息服务等高端航运服务业。</w:t>
            </w:r>
          </w:p>
          <w:p w:rsidR="000816CE" w:rsidRDefault="00FC7BEB" w:rsidP="006C0D30">
            <w:pPr>
              <w:pStyle w:val="a7"/>
              <w:ind w:firstLine="640"/>
              <w:rPr>
                <w:b/>
                <w:bCs/>
                <w:sz w:val="32"/>
                <w:szCs w:val="32"/>
              </w:rPr>
            </w:pPr>
            <w:r>
              <w:rPr>
                <w:rFonts w:hint="eastAsia"/>
                <w:b/>
                <w:bCs/>
                <w:sz w:val="32"/>
                <w:szCs w:val="32"/>
              </w:rPr>
              <w:t>——冷链物流提质扩容工程</w:t>
            </w:r>
          </w:p>
          <w:p w:rsidR="000816CE" w:rsidRDefault="00FC7BEB">
            <w:pPr>
              <w:pStyle w:val="a7"/>
              <w:ind w:firstLine="640"/>
              <w:rPr>
                <w:sz w:val="32"/>
                <w:szCs w:val="32"/>
              </w:rPr>
            </w:pPr>
            <w:r>
              <w:rPr>
                <w:rFonts w:ascii="仿宋" w:hAnsi="仿宋" w:cs="仿宋" w:hint="eastAsia"/>
                <w:sz w:val="32"/>
                <w:szCs w:val="32"/>
              </w:rPr>
              <w:lastRenderedPageBreak/>
              <w:t>促进对台经贸往来，</w:t>
            </w:r>
            <w:r>
              <w:rPr>
                <w:rFonts w:hint="eastAsia"/>
                <w:sz w:val="32"/>
                <w:szCs w:val="32"/>
              </w:rPr>
              <w:t>加快两岸果蔬、畜禽、奶制品、水产品、花卉等高附加值生鲜农产品冷链物流产业合作。积极申报国家骨干冷链物流基地，争取国家首批骨干冷链物流基地建设资格。重点建设食品、药品、医疗器械等原产地冷库、产地集配中心、冷链物流园区等，提升冷链物流服务规模化、一体化、智能化水平。大力发展冷链共同配送、集中配送、分时配送、无人配送等先进的配送组织模式。</w:t>
            </w:r>
          </w:p>
          <w:p w:rsidR="000816CE" w:rsidRDefault="00FC7BEB" w:rsidP="006C0D30">
            <w:pPr>
              <w:pStyle w:val="a7"/>
              <w:ind w:firstLine="640"/>
              <w:rPr>
                <w:b/>
                <w:bCs/>
                <w:sz w:val="32"/>
                <w:szCs w:val="32"/>
              </w:rPr>
            </w:pPr>
            <w:r>
              <w:rPr>
                <w:rFonts w:hint="eastAsia"/>
                <w:b/>
                <w:bCs/>
                <w:sz w:val="32"/>
                <w:szCs w:val="32"/>
              </w:rPr>
              <w:t>——</w:t>
            </w:r>
            <w:r>
              <w:rPr>
                <w:b/>
                <w:bCs/>
                <w:sz w:val="32"/>
                <w:szCs w:val="32"/>
              </w:rPr>
              <w:t>电商物流</w:t>
            </w:r>
            <w:r>
              <w:rPr>
                <w:rFonts w:hint="eastAsia"/>
                <w:b/>
                <w:bCs/>
                <w:sz w:val="32"/>
                <w:szCs w:val="32"/>
              </w:rPr>
              <w:t>创新协同工程</w:t>
            </w:r>
          </w:p>
          <w:p w:rsidR="000816CE" w:rsidRDefault="00FC7BEB">
            <w:pPr>
              <w:pStyle w:val="a7"/>
              <w:ind w:firstLine="640"/>
              <w:rPr>
                <w:b/>
                <w:bCs/>
                <w:sz w:val="32"/>
                <w:szCs w:val="32"/>
              </w:rPr>
            </w:pPr>
            <w:r>
              <w:rPr>
                <w:rFonts w:hint="eastAsia"/>
                <w:sz w:val="32"/>
                <w:szCs w:val="32"/>
              </w:rPr>
              <w:t>加快辉特电商物流总部基地等项目建设，导入高端快递企业，整合电商物流产业链，引进生产制造、产品营销、物流运输、金融服务等上下游企业入驻园区。通过“互联网</w:t>
            </w:r>
            <w:r>
              <w:rPr>
                <w:rFonts w:hint="eastAsia"/>
                <w:sz w:val="32"/>
                <w:szCs w:val="32"/>
              </w:rPr>
              <w:t>+</w:t>
            </w:r>
            <w:r>
              <w:rPr>
                <w:rFonts w:hint="eastAsia"/>
                <w:sz w:val="32"/>
                <w:szCs w:val="32"/>
              </w:rPr>
              <w:t>产业服务”和“快递</w:t>
            </w:r>
            <w:r>
              <w:rPr>
                <w:rFonts w:hint="eastAsia"/>
                <w:sz w:val="32"/>
                <w:szCs w:val="32"/>
              </w:rPr>
              <w:t>+</w:t>
            </w:r>
            <w:r>
              <w:rPr>
                <w:rFonts w:hint="eastAsia"/>
                <w:sz w:val="32"/>
                <w:szCs w:val="32"/>
              </w:rPr>
              <w:t>高端物流”的双核驱动，打造区域性产业创新、协同发展的电商物流服务园区。</w:t>
            </w:r>
          </w:p>
          <w:p w:rsidR="000816CE" w:rsidRDefault="00FC7BEB" w:rsidP="006C0D30">
            <w:pPr>
              <w:pStyle w:val="a7"/>
              <w:ind w:firstLine="640"/>
              <w:rPr>
                <w:sz w:val="32"/>
                <w:szCs w:val="32"/>
              </w:rPr>
            </w:pPr>
            <w:r>
              <w:rPr>
                <w:rFonts w:hint="eastAsia"/>
                <w:b/>
                <w:bCs/>
                <w:sz w:val="32"/>
                <w:szCs w:val="32"/>
              </w:rPr>
              <w:t>主要项目</w:t>
            </w:r>
            <w:r>
              <w:rPr>
                <w:rFonts w:hint="eastAsia"/>
                <w:sz w:val="32"/>
                <w:szCs w:val="32"/>
              </w:rPr>
              <w:t>：秀屿区陆地港项目及基础设施配套、华峰物流供应链项目、宏宝药械物流园项目、莆田大地工业品仓储有限公司仓储物流园设施建设二期项目、海吉星农产品物流集散中心、嘉</w:t>
            </w:r>
            <w:r>
              <w:rPr>
                <w:rFonts w:hint="eastAsia"/>
                <w:sz w:val="32"/>
                <w:szCs w:val="32"/>
              </w:rPr>
              <w:lastRenderedPageBreak/>
              <w:t>骏物流产业园、福建启星商贸物流中心项目、普洛斯物流二期、众诚蔬菜冷链物流建设项目、莆田兴化湾（涵江）港口物流园区一期工程、国投莆田国际物流港、滨海仓储物流基地、机械化屠宰厂仓储冷链项目、冷链物流产业园项目、诚壹实业冷链物流（秀屿）产业园建设项目。</w:t>
            </w:r>
          </w:p>
        </w:tc>
      </w:tr>
    </w:tbl>
    <w:p w:rsidR="000816CE" w:rsidRDefault="00FC7BEB" w:rsidP="006C0D30">
      <w:pPr>
        <w:pStyle w:val="2"/>
        <w:snapToGrid/>
        <w:spacing w:beforeLines="100" w:after="156"/>
        <w:ind w:firstLine="640"/>
        <w:jc w:val="both"/>
        <w:rPr>
          <w:rFonts w:eastAsia="仿宋" w:hint="default"/>
        </w:rPr>
      </w:pPr>
      <w:bookmarkStart w:id="21" w:name="_Toc17744"/>
      <w:r>
        <w:lastRenderedPageBreak/>
        <w:t>（五）科技信息</w:t>
      </w:r>
      <w:bookmarkEnd w:id="21"/>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pPr>
      <w:r>
        <w:rPr>
          <w:rFonts w:hint="eastAsia"/>
        </w:rPr>
        <w:t>完善新型基础设施建设，以数字化、网络化、智能化赋能企业转型升级，构建覆盖科技创新全链条、产品生产全周期的科技信息服务体系。到</w:t>
      </w:r>
      <w:r>
        <w:rPr>
          <w:rFonts w:hint="eastAsia"/>
        </w:rPr>
        <w:t>2025</w:t>
      </w:r>
      <w:r>
        <w:rPr>
          <w:rFonts w:hint="eastAsia"/>
        </w:rPr>
        <w:t>年</w:t>
      </w:r>
      <w:r>
        <w:rPr>
          <w:rFonts w:ascii="仿宋_GB2312" w:eastAsia="仿宋_GB2312" w:hAnsi="仿宋_GB2312" w:cs="仿宋_GB2312" w:hint="eastAsia"/>
        </w:rPr>
        <w:t>，国家创新型城市格局初步形成</w:t>
      </w:r>
      <w:r>
        <w:rPr>
          <w:rFonts w:hint="eastAsia"/>
        </w:rPr>
        <w:t>，</w:t>
      </w:r>
      <w:r>
        <w:rPr>
          <w:rFonts w:hint="eastAsia"/>
        </w:rPr>
        <w:t>R&amp;D</w:t>
      </w:r>
      <w:r>
        <w:rPr>
          <w:rFonts w:hint="eastAsia"/>
        </w:rPr>
        <w:t>经费投入年均增长率</w:t>
      </w:r>
      <w:r>
        <w:rPr>
          <w:rFonts w:hint="eastAsia"/>
        </w:rPr>
        <w:t>20%</w:t>
      </w:r>
      <w:r>
        <w:rPr>
          <w:rFonts w:hint="eastAsia"/>
        </w:rPr>
        <w:t>以上，</w:t>
      </w:r>
      <w:r>
        <w:rPr>
          <w:rFonts w:hint="eastAsia"/>
        </w:rPr>
        <w:t>R&amp;D</w:t>
      </w:r>
      <w:r>
        <w:rPr>
          <w:rFonts w:hint="eastAsia"/>
        </w:rPr>
        <w:t>经费投入强度达到全省平均水平，国家</w:t>
      </w:r>
      <w:r>
        <w:rPr>
          <w:rFonts w:ascii="仿宋_GB2312" w:eastAsia="仿宋_GB2312" w:hAnsi="仿宋_GB2312" w:cs="仿宋_GB2312"/>
        </w:rPr>
        <w:t>高新技术企业</w:t>
      </w:r>
      <w:r>
        <w:rPr>
          <w:rFonts w:ascii="仿宋_GB2312" w:eastAsia="仿宋_GB2312" w:hAnsi="仿宋_GB2312" w:cs="仿宋_GB2312" w:hint="eastAsia"/>
        </w:rPr>
        <w:t>达到</w:t>
      </w:r>
      <w:r>
        <w:rPr>
          <w:rFonts w:eastAsia="仿宋_GB2312"/>
        </w:rPr>
        <w:t>400</w:t>
      </w:r>
      <w:r>
        <w:rPr>
          <w:rFonts w:eastAsia="仿宋_GB2312" w:hint="eastAsia"/>
        </w:rPr>
        <w:t>家</w:t>
      </w:r>
      <w:r>
        <w:rPr>
          <w:rFonts w:hint="eastAsia"/>
        </w:rPr>
        <w:t>。</w:t>
      </w:r>
    </w:p>
    <w:p w:rsidR="000816CE" w:rsidRDefault="00FC7BEB" w:rsidP="006C0D30">
      <w:pPr>
        <w:pStyle w:val="3"/>
        <w:spacing w:before="156" w:after="156"/>
        <w:ind w:firstLine="640"/>
        <w:rPr>
          <w:rFonts w:hint="default"/>
        </w:rPr>
      </w:pPr>
      <w:r>
        <w:t>2.</w:t>
      </w:r>
      <w:r>
        <w:t>主要任务</w:t>
      </w:r>
    </w:p>
    <w:p w:rsidR="000816CE" w:rsidRDefault="00FC7BEB">
      <w:pPr>
        <w:ind w:firstLine="640"/>
      </w:pPr>
      <w:r>
        <w:rPr>
          <w:rFonts w:hint="eastAsia"/>
        </w:rPr>
        <w:t>以满足科技创新需求和提升产业创新能力为导向，培育壮大科技信息服务主体；加快完善莆田市科技服务体系，构建企业微成长、小升高、高壮大的梯次培育机制，打造一批产业创新服务</w:t>
      </w:r>
      <w:r>
        <w:rPr>
          <w:rFonts w:hint="eastAsia"/>
        </w:rPr>
        <w:lastRenderedPageBreak/>
        <w:t>综合体，力争在高端信息服</w:t>
      </w:r>
      <w:r>
        <w:rPr>
          <w:rFonts w:hint="eastAsia"/>
        </w:rPr>
        <w:t>务领域取得较大突破。</w:t>
      </w:r>
    </w:p>
    <w:p w:rsidR="000816CE" w:rsidRDefault="00FC7BEB" w:rsidP="006C0D30">
      <w:pPr>
        <w:numPr>
          <w:ilvl w:val="255"/>
          <w:numId w:val="0"/>
        </w:numPr>
        <w:ind w:firstLineChars="200" w:firstLine="640"/>
        <w:rPr>
          <w:rFonts w:ascii="仿宋" w:hAnsi="仿宋" w:cs="仿宋"/>
        </w:rPr>
      </w:pPr>
      <w:r>
        <w:rPr>
          <w:rFonts w:ascii="仿宋" w:hAnsi="仿宋" w:cs="仿宋" w:hint="eastAsia"/>
          <w:b/>
          <w:bCs/>
        </w:rPr>
        <w:t>构建全价值链科技服务体系。</w:t>
      </w:r>
      <w:r>
        <w:rPr>
          <w:rFonts w:ascii="仿宋" w:hAnsi="仿宋" w:cs="仿宋"/>
        </w:rPr>
        <w:t>大力发展研发设计、创业孵化、技术转移、科技金融、知识产权、科技咨询、检验检测认证、科学技术普及等科技服务能力，加快构建全价值链科技服务体系。</w:t>
      </w:r>
      <w:r>
        <w:rPr>
          <w:rFonts w:ascii="仿宋" w:hAnsi="仿宋" w:cs="仿宋" w:hint="eastAsia"/>
        </w:rPr>
        <w:t>深入</w:t>
      </w:r>
      <w:r>
        <w:rPr>
          <w:rFonts w:ascii="仿宋" w:hAnsi="仿宋" w:cs="仿宋"/>
        </w:rPr>
        <w:t>发展创新创业孵化服务，构建以专业孵化器和创新型孵化器为重点、综合性孵化器为支撑的创业孵化生态体系。完善科技成果转化体系，在重点产业园区布局一批专业化技术转移机构和技术成果交易平台</w:t>
      </w:r>
      <w:r>
        <w:rPr>
          <w:rFonts w:ascii="仿宋" w:hAnsi="仿宋" w:cs="仿宋" w:hint="eastAsia"/>
        </w:rPr>
        <w:t>。打通</w:t>
      </w:r>
      <w:r>
        <w:rPr>
          <w:rFonts w:ascii="仿宋" w:hAnsi="仿宋" w:cs="仿宋"/>
        </w:rPr>
        <w:t>知识产权创造、运用和保护，支持各类创新主体加强专利布局，建设知识产权强市。推动科技金融有效链接，鼓励金融机构开展知识产权质押融资、科技创</w:t>
      </w:r>
      <w:r>
        <w:rPr>
          <w:rFonts w:ascii="仿宋" w:hAnsi="仿宋" w:cs="仿宋"/>
        </w:rPr>
        <w:t>新贷款、科技保险、科技租赁等创新服务，加大对科技创新活动的信贷支持。</w:t>
      </w:r>
    </w:p>
    <w:p w:rsidR="000816CE" w:rsidRDefault="00FC7BEB" w:rsidP="006C0D30">
      <w:pPr>
        <w:ind w:firstLine="640"/>
        <w:rPr>
          <w:rFonts w:ascii="仿宋" w:hAnsi="仿宋" w:cs="仿宋"/>
        </w:rPr>
      </w:pPr>
      <w:r>
        <w:rPr>
          <w:rFonts w:ascii="仿宋" w:hAnsi="仿宋" w:cs="仿宋" w:hint="eastAsia"/>
          <w:b/>
          <w:bCs/>
        </w:rPr>
        <w:t>加强高新技术企业培育扶持。</w:t>
      </w:r>
      <w:r>
        <w:rPr>
          <w:rFonts w:ascii="仿宋" w:hAnsi="仿宋" w:cs="仿宋" w:hint="eastAsia"/>
        </w:rPr>
        <w:t>积极推动企业申报省级高新技术企业、“专精特新”中小企业、科技小巨人领军企业、瞪羚企业、高成长企业、技术创新示范企业等，实施高新技术企业倍增计划，支持一批高成长创新型企业，培育一批具有较强创新能力、良好发展后劲和市场前景的新技术新模式新业态行业企业。通过招商</w:t>
      </w:r>
      <w:r>
        <w:rPr>
          <w:rFonts w:ascii="仿宋" w:hAnsi="仿宋" w:cs="仿宋" w:hint="eastAsia"/>
        </w:rPr>
        <w:lastRenderedPageBreak/>
        <w:t>引进符合申报条件、成长性能好、有发展潜力的企业进行培育，做好高新技术企业后备库建设，力争高新技术企业数量再突破，实现全市高新技术企业倍增计划目标。</w:t>
      </w:r>
    </w:p>
    <w:p w:rsidR="000816CE" w:rsidRDefault="00FC7BEB" w:rsidP="006C0D30">
      <w:pPr>
        <w:ind w:firstLine="640"/>
      </w:pPr>
      <w:r>
        <w:rPr>
          <w:rFonts w:hint="eastAsia"/>
          <w:b/>
          <w:bCs/>
        </w:rPr>
        <w:t>加快</w:t>
      </w:r>
      <w:r>
        <w:rPr>
          <w:rFonts w:eastAsia="仿宋_GB2312" w:hint="eastAsia"/>
          <w:b/>
          <w:bCs/>
        </w:rPr>
        <w:t>科技服务平台建设</w:t>
      </w:r>
      <w:r>
        <w:rPr>
          <w:rFonts w:eastAsia="仿宋_GB2312" w:hint="eastAsia"/>
          <w:b/>
        </w:rPr>
        <w:t>。</w:t>
      </w:r>
      <w:r>
        <w:rPr>
          <w:rFonts w:eastAsia="仿宋_GB2312" w:hint="eastAsia"/>
          <w:bCs/>
        </w:rPr>
        <w:t>实施“一产业链一研究院”建设工程，以支撑产业链创新、重大技术突破和重大产品研发为目标，布局建设一批专业化、特色化产业技术研究院。实施龙头企业研发平台提升工程，支持以企业为主承担国家、省、市重大科技创新与产业化专项，以企业为主体牵头建设重点实验室、公共实验室及创新综合体等研发平台。</w:t>
      </w:r>
      <w:r>
        <w:rPr>
          <w:rFonts w:hint="eastAsia"/>
        </w:rPr>
        <w:t>按照服务专业化、经营产业化的发展方向，重点建设一批面向中小企业的科技公共服务平台、工业园区配套服务中心</w:t>
      </w:r>
      <w:r>
        <w:rPr>
          <w:rFonts w:eastAsia="仿宋_GB2312" w:hint="eastAsia"/>
          <w:bCs/>
        </w:rPr>
        <w:t>，为企业提供政策解读、人才培训、信息咨询、检验检测、成果对接、投融资等系统性、一站式服务。</w:t>
      </w:r>
      <w:r>
        <w:rPr>
          <w:rFonts w:hint="eastAsia"/>
        </w:rPr>
        <w:t>着力深化创新研发平台、</w:t>
      </w:r>
      <w:r>
        <w:rPr>
          <w:rFonts w:hint="eastAsia"/>
        </w:rPr>
        <w:t>创新共享平台、成果转化平台等特色服务平台的整合，打造一批产业创新服务综合体。</w:t>
      </w:r>
    </w:p>
    <w:p w:rsidR="000816CE" w:rsidRDefault="00FC7BEB" w:rsidP="006C0D30">
      <w:pPr>
        <w:ind w:firstLine="640"/>
      </w:pPr>
      <w:r>
        <w:rPr>
          <w:rFonts w:hint="eastAsia"/>
          <w:b/>
          <w:bCs/>
        </w:rPr>
        <w:t>大力发展高端信息技术服务。</w:t>
      </w:r>
      <w:r>
        <w:rPr>
          <w:rFonts w:hint="eastAsia"/>
        </w:rPr>
        <w:t>加快推进信息技术服务高端化，深入实施总部经济战略，探索高端信息技术服务业推动传统优势制造业发展。</w:t>
      </w:r>
      <w:r>
        <w:t>引导</w:t>
      </w:r>
      <w:r>
        <w:rPr>
          <w:rFonts w:hint="eastAsia"/>
        </w:rPr>
        <w:t>电子信息</w:t>
      </w:r>
      <w:r>
        <w:t>、</w:t>
      </w:r>
      <w:r>
        <w:rPr>
          <w:rFonts w:hint="eastAsia"/>
        </w:rPr>
        <w:t>新型功能材料、高端装备、</w:t>
      </w:r>
      <w:r>
        <w:t>新能源</w:t>
      </w:r>
      <w:r>
        <w:rPr>
          <w:rFonts w:hint="eastAsia"/>
        </w:rPr>
        <w:t>、</w:t>
      </w:r>
      <w:r>
        <w:rPr>
          <w:rFonts w:hint="eastAsia"/>
        </w:rPr>
        <w:lastRenderedPageBreak/>
        <w:t>生命健康</w:t>
      </w:r>
      <w:r>
        <w:t>等领域的龙头企业搭建云制造、云服务和工业互联网平台，立足产业供应链共性需求，推动中小企业上云，在重点领域实现设备共享、产能对接、生产协同。</w:t>
      </w:r>
      <w:r>
        <w:rPr>
          <w:rFonts w:hint="eastAsia"/>
        </w:rPr>
        <w:t>积极推进</w:t>
      </w:r>
      <w:r>
        <w:rPr>
          <w:rFonts w:hint="eastAsia"/>
        </w:rPr>
        <w:t>5G</w:t>
      </w:r>
      <w:r>
        <w:rPr>
          <w:rFonts w:hint="eastAsia"/>
        </w:rPr>
        <w:t>基站、工业互联网、大数据中心等新型基础设施建设，加快推动大数据产业发展，强化与通信运营商、互联网媒体平台等企</w:t>
      </w:r>
      <w:r>
        <w:rPr>
          <w:rFonts w:hint="eastAsia"/>
        </w:rPr>
        <w:t>业合作，</w:t>
      </w:r>
      <w:r>
        <w:rPr>
          <w:rFonts w:hint="eastAsia"/>
          <w:color w:val="333333"/>
        </w:rPr>
        <w:t>构建</w:t>
      </w:r>
      <w:r>
        <w:rPr>
          <w:rFonts w:hint="eastAsia"/>
        </w:rPr>
        <w:t>具有数据汇集、数据融合、数据服务和数据开放等全功能的市级大数据中心</w:t>
      </w:r>
      <w:r>
        <w:rPr>
          <w:rFonts w:hint="eastAsia"/>
          <w:color w:val="333333"/>
        </w:rPr>
        <w:t>，</w:t>
      </w:r>
      <w:r>
        <w:rPr>
          <w:rFonts w:hint="eastAsia"/>
        </w:rPr>
        <w:t>打造一体化城市智能感知体系。</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0"/>
      </w:tblGrid>
      <w:tr w:rsidR="000816CE">
        <w:trPr>
          <w:jc w:val="center"/>
        </w:trPr>
        <w:tc>
          <w:tcPr>
            <w:tcW w:w="9140" w:type="dxa"/>
            <w:shd w:val="clear" w:color="auto" w:fill="DAEEF3" w:themeFill="accent5" w:themeFillTint="33"/>
          </w:tcPr>
          <w:p w:rsidR="000816CE" w:rsidRDefault="00FC7BEB">
            <w:pPr>
              <w:snapToGrid/>
              <w:ind w:firstLine="643"/>
              <w:jc w:val="center"/>
              <w:rPr>
                <w:rFonts w:ascii="仿宋_GB2312" w:eastAsia="仿宋_GB2312" w:hAnsi="楷体" w:cs="楷体"/>
                <w:b/>
                <w:color w:val="000000" w:themeColor="text1"/>
                <w:sz w:val="28"/>
                <w:szCs w:val="28"/>
              </w:rPr>
            </w:pPr>
            <w:r>
              <w:rPr>
                <w:rFonts w:ascii="仿宋_GB2312" w:eastAsia="仿宋_GB2312" w:hAnsi="楷体" w:cs="楷体" w:hint="eastAsia"/>
                <w:b/>
                <w:color w:val="000000" w:themeColor="text1"/>
              </w:rPr>
              <w:t>专栏</w:t>
            </w:r>
            <w:r>
              <w:rPr>
                <w:rFonts w:ascii="仿宋_GB2312" w:eastAsia="仿宋_GB2312" w:hAnsi="楷体" w:cs="楷体" w:hint="eastAsia"/>
                <w:b/>
                <w:color w:val="000000" w:themeColor="text1"/>
              </w:rPr>
              <w:t>5</w:t>
            </w:r>
            <w:r>
              <w:rPr>
                <w:rFonts w:ascii="仿宋_GB2312" w:eastAsia="仿宋_GB2312" w:hAnsi="楷体" w:cs="楷体"/>
                <w:b/>
                <w:color w:val="000000" w:themeColor="text1"/>
              </w:rPr>
              <w:t xml:space="preserve"> </w:t>
            </w:r>
            <w:r>
              <w:rPr>
                <w:rFonts w:ascii="仿宋_GB2312" w:eastAsia="仿宋_GB2312" w:hAnsi="楷体" w:cs="楷体" w:hint="eastAsia"/>
                <w:b/>
                <w:color w:val="000000" w:themeColor="text1"/>
              </w:rPr>
              <w:t>科技信息服务提升工程</w:t>
            </w:r>
          </w:p>
        </w:tc>
      </w:tr>
      <w:tr w:rsidR="000816CE">
        <w:trPr>
          <w:jc w:val="center"/>
        </w:trPr>
        <w:tc>
          <w:tcPr>
            <w:tcW w:w="9140" w:type="dxa"/>
            <w:shd w:val="clear" w:color="auto" w:fill="auto"/>
          </w:tcPr>
          <w:p w:rsidR="000816CE" w:rsidRDefault="00FC7BEB" w:rsidP="006C0D30">
            <w:pPr>
              <w:pStyle w:val="a7"/>
              <w:snapToGrid/>
              <w:ind w:firstLine="640"/>
              <w:rPr>
                <w:b/>
                <w:bCs/>
                <w:sz w:val="32"/>
                <w:szCs w:val="32"/>
              </w:rPr>
            </w:pPr>
            <w:r>
              <w:rPr>
                <w:rFonts w:hint="eastAsia"/>
                <w:b/>
                <w:bCs/>
                <w:sz w:val="32"/>
                <w:szCs w:val="32"/>
              </w:rPr>
              <w:t>——</w:t>
            </w:r>
            <w:r>
              <w:rPr>
                <w:b/>
                <w:bCs/>
                <w:sz w:val="32"/>
                <w:szCs w:val="32"/>
              </w:rPr>
              <w:t>公共研发服务体系</w:t>
            </w:r>
            <w:r>
              <w:rPr>
                <w:rFonts w:hint="eastAsia"/>
                <w:b/>
                <w:bCs/>
                <w:sz w:val="32"/>
                <w:szCs w:val="32"/>
              </w:rPr>
              <w:t>建设工程</w:t>
            </w:r>
          </w:p>
          <w:p w:rsidR="000816CE" w:rsidRDefault="00FC7BEB">
            <w:pPr>
              <w:pStyle w:val="a7"/>
              <w:snapToGrid/>
              <w:ind w:firstLine="640"/>
              <w:rPr>
                <w:sz w:val="32"/>
                <w:szCs w:val="32"/>
              </w:rPr>
            </w:pPr>
            <w:r>
              <w:rPr>
                <w:rFonts w:ascii="仿宋" w:hAnsi="仿宋" w:cs="仿宋" w:hint="eastAsia"/>
                <w:sz w:val="32"/>
                <w:szCs w:val="32"/>
              </w:rPr>
              <w:t>加强高校、科研院所和大企业研发资源合作，深入实施高层次人才特殊支持计划，打造一流人才创新创业生态系统。</w:t>
            </w:r>
            <w:r>
              <w:rPr>
                <w:rFonts w:eastAsia="仿宋_GB2312" w:hint="eastAsia"/>
                <w:sz w:val="32"/>
                <w:szCs w:val="32"/>
              </w:rPr>
              <w:t>鼓励企业重点实验室、工程（技术）研究中心、技术中心等平台建设，支持重大科研基础设施和大型科研仪器向社会开放，提升检验检测市场化服务能力。</w:t>
            </w:r>
            <w:r>
              <w:rPr>
                <w:rFonts w:hint="eastAsia"/>
                <w:sz w:val="32"/>
                <w:szCs w:val="32"/>
              </w:rPr>
              <w:t>培育新型研发服务组织，发展研发众包等新型研发服务业态。全面盘活国有企事业单位闲置资产，培育一批研发设计、咨询、法律、中介等服务企业。</w:t>
            </w:r>
          </w:p>
          <w:p w:rsidR="000816CE" w:rsidRDefault="00FC7BEB" w:rsidP="006C0D30">
            <w:pPr>
              <w:numPr>
                <w:ilvl w:val="255"/>
                <w:numId w:val="0"/>
              </w:numPr>
              <w:ind w:firstLineChars="200" w:firstLine="640"/>
              <w:rPr>
                <w:b/>
                <w:bCs/>
              </w:rPr>
            </w:pPr>
            <w:r>
              <w:rPr>
                <w:rFonts w:hint="eastAsia"/>
                <w:b/>
                <w:bCs/>
              </w:rPr>
              <w:t>——</w:t>
            </w:r>
            <w:r>
              <w:rPr>
                <w:b/>
                <w:bCs/>
              </w:rPr>
              <w:t>技术转移服务体系</w:t>
            </w:r>
            <w:r>
              <w:rPr>
                <w:rFonts w:hint="eastAsia"/>
                <w:b/>
                <w:bCs/>
              </w:rPr>
              <w:t>建设工程</w:t>
            </w:r>
          </w:p>
          <w:p w:rsidR="000816CE" w:rsidRDefault="00FC7BEB">
            <w:pPr>
              <w:numPr>
                <w:ilvl w:val="255"/>
                <w:numId w:val="0"/>
              </w:numPr>
              <w:ind w:firstLineChars="200" w:firstLine="640"/>
              <w:rPr>
                <w:rFonts w:ascii="仿宋" w:hAnsi="仿宋" w:cs="仿宋"/>
              </w:rPr>
            </w:pPr>
            <w:r>
              <w:rPr>
                <w:rFonts w:ascii="仿宋" w:hAnsi="仿宋" w:cs="仿宋" w:hint="eastAsia"/>
              </w:rPr>
              <w:t>进一步发挥</w:t>
            </w:r>
            <w:r>
              <w:rPr>
                <w:rFonts w:ascii="仿宋" w:hAnsi="仿宋" w:cs="仿宋" w:hint="eastAsia"/>
                <w:color w:val="333333"/>
              </w:rPr>
              <w:t>福建华峰新材料有限公司技术中心</w:t>
            </w:r>
            <w:r>
              <w:rPr>
                <w:rFonts w:ascii="仿宋" w:hAnsi="仿宋" w:cs="仿宋" w:hint="eastAsia"/>
              </w:rPr>
              <w:t>、福联集成电</w:t>
            </w:r>
            <w:r>
              <w:rPr>
                <w:rFonts w:ascii="仿宋" w:hAnsi="仿宋" w:cs="仿宋" w:hint="eastAsia"/>
              </w:rPr>
              <w:lastRenderedPageBreak/>
              <w:t>路公司省射频与功率芯片制造工程研究中心和三棵树福建省绿色环保高性能涂料工程研究中心等国家级企业技术中心、省级工程研究中心等研发机构示范效应，引导和支持第三方机构开展技术转移服务，打造集科技成果展示、交易、应用、推广，线上线下一体的技术转移服务体系。整合莆田学院、湄洲湾职业技术学院以及省内其他高校机构资源，</w:t>
            </w:r>
            <w:r>
              <w:rPr>
                <w:rFonts w:ascii="仿宋" w:hAnsi="仿宋" w:cs="仿宋"/>
              </w:rPr>
              <w:t>布局一批专业化技术转移机构和技术成果交易平台，培育发展技术经纪人队伍。</w:t>
            </w:r>
          </w:p>
          <w:p w:rsidR="000816CE" w:rsidRDefault="00FC7BEB" w:rsidP="006C0D30">
            <w:pPr>
              <w:pStyle w:val="a7"/>
              <w:ind w:firstLine="640"/>
              <w:rPr>
                <w:b/>
                <w:bCs/>
                <w:sz w:val="32"/>
                <w:szCs w:val="32"/>
              </w:rPr>
            </w:pPr>
            <w:r>
              <w:rPr>
                <w:rFonts w:hint="eastAsia"/>
                <w:b/>
                <w:bCs/>
                <w:sz w:val="32"/>
                <w:szCs w:val="32"/>
              </w:rPr>
              <w:t>——</w:t>
            </w:r>
            <w:r>
              <w:rPr>
                <w:b/>
                <w:bCs/>
                <w:sz w:val="32"/>
                <w:szCs w:val="32"/>
              </w:rPr>
              <w:t>创业孵化服务体系</w:t>
            </w:r>
            <w:r>
              <w:rPr>
                <w:rFonts w:hint="eastAsia"/>
                <w:b/>
                <w:bCs/>
                <w:sz w:val="32"/>
                <w:szCs w:val="32"/>
              </w:rPr>
              <w:t>建设工程</w:t>
            </w:r>
          </w:p>
          <w:p w:rsidR="000816CE" w:rsidRDefault="00FC7BEB">
            <w:pPr>
              <w:pStyle w:val="a7"/>
              <w:ind w:firstLine="640"/>
              <w:rPr>
                <w:sz w:val="32"/>
                <w:szCs w:val="32"/>
              </w:rPr>
            </w:pPr>
            <w:r>
              <w:rPr>
                <w:rFonts w:ascii="仿宋_GB2312" w:eastAsia="仿宋_GB2312" w:hAnsi="仿宋_GB2312" w:cs="仿宋_GB2312" w:hint="eastAsia"/>
                <w:sz w:val="32"/>
                <w:szCs w:val="32"/>
              </w:rPr>
              <w:t>支持莆田高新区争创国家众创空间或双创示范基地，鼓励县（区）建立特色化、多元化科技育成中心、众</w:t>
            </w:r>
            <w:r>
              <w:rPr>
                <w:rFonts w:ascii="仿宋_GB2312" w:eastAsia="仿宋_GB2312" w:hAnsi="仿宋_GB2312" w:cs="仿宋_GB2312" w:hint="eastAsia"/>
                <w:sz w:val="32"/>
                <w:szCs w:val="32"/>
              </w:rPr>
              <w:t>创空间（星创天地）、专业孵化器、加速器等各类科技创新创业基地。推动双创示范基地间互动合作，搭建“高校</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企业</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基地”创新创业合作桥梁，开展产学研协同创新等系列活动，加强与福厦泉等地区基地的对接合作，探索跨区域基地合作机制，强化各类基地协同联动。优化孵化体系，支持发展“孵化</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创投”、“互联网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创新工场”等孵化方式，鼓励有条件的创业基地、企业和创投机构发展制造业“创投空间”，形成“创新苗圃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孵化器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加速器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产业园”的梯级孵化体系，提升孵化能力。</w:t>
            </w:r>
          </w:p>
          <w:p w:rsidR="000816CE" w:rsidRDefault="00FC7BEB">
            <w:pPr>
              <w:pStyle w:val="a7"/>
              <w:ind w:firstLine="643"/>
              <w:rPr>
                <w:rFonts w:ascii="仿宋_GB2312" w:eastAsia="仿宋_GB2312" w:hAnsi="楷体" w:cs="楷体"/>
                <w:b/>
                <w:color w:val="000000" w:themeColor="text1"/>
                <w:sz w:val="32"/>
                <w:szCs w:val="32"/>
              </w:rPr>
            </w:pPr>
            <w:r>
              <w:rPr>
                <w:rFonts w:ascii="仿宋_GB2312" w:eastAsia="仿宋_GB2312" w:hAnsi="楷体" w:cs="楷体" w:hint="eastAsia"/>
                <w:b/>
                <w:color w:val="000000" w:themeColor="text1"/>
                <w:sz w:val="32"/>
                <w:szCs w:val="32"/>
              </w:rPr>
              <w:t>——科</w:t>
            </w:r>
            <w:r>
              <w:rPr>
                <w:rFonts w:ascii="仿宋_GB2312" w:eastAsia="仿宋_GB2312" w:hAnsi="楷体" w:cs="楷体"/>
                <w:b/>
                <w:color w:val="000000" w:themeColor="text1"/>
                <w:sz w:val="32"/>
                <w:szCs w:val="32"/>
              </w:rPr>
              <w:t>技服务集聚区</w:t>
            </w:r>
            <w:r>
              <w:rPr>
                <w:rFonts w:ascii="仿宋_GB2312" w:eastAsia="仿宋_GB2312" w:hAnsi="楷体" w:cs="楷体" w:hint="eastAsia"/>
                <w:b/>
                <w:color w:val="000000" w:themeColor="text1"/>
                <w:sz w:val="32"/>
                <w:szCs w:val="32"/>
              </w:rPr>
              <w:t>打造工程</w:t>
            </w:r>
          </w:p>
          <w:p w:rsidR="000816CE" w:rsidRDefault="00FC7BEB">
            <w:pPr>
              <w:pStyle w:val="a7"/>
              <w:ind w:firstLine="640"/>
              <w:rPr>
                <w:sz w:val="32"/>
                <w:szCs w:val="32"/>
              </w:rPr>
            </w:pPr>
            <w:r>
              <w:rPr>
                <w:sz w:val="32"/>
                <w:szCs w:val="32"/>
              </w:rPr>
              <w:lastRenderedPageBreak/>
              <w:t>依托</w:t>
            </w:r>
            <w:r>
              <w:rPr>
                <w:rFonts w:hint="eastAsia"/>
                <w:sz w:val="32"/>
                <w:szCs w:val="32"/>
              </w:rPr>
              <w:t>莆田四大战略性新兴产业</w:t>
            </w:r>
            <w:r>
              <w:rPr>
                <w:sz w:val="32"/>
                <w:szCs w:val="32"/>
              </w:rPr>
              <w:t>，集聚科技创新</w:t>
            </w:r>
            <w:r>
              <w:rPr>
                <w:sz w:val="32"/>
                <w:szCs w:val="32"/>
              </w:rPr>
              <w:t>力量和科技服务机构，构建以龙头企业为主导、产业链上下游参与的协同创新生态，建设集技术成果交易、产学研合作、联合攻关、人才引培、海内外孵化和科技投融资于一体的科技服务集聚区。</w:t>
            </w:r>
            <w:r>
              <w:rPr>
                <w:rFonts w:hint="eastAsia"/>
                <w:sz w:val="32"/>
                <w:szCs w:val="32"/>
              </w:rPr>
              <w:t>重点</w:t>
            </w:r>
            <w:r>
              <w:rPr>
                <w:sz w:val="32"/>
                <w:szCs w:val="32"/>
              </w:rPr>
              <w:t>推进基础研究、关键核心技术攻关，聚焦集成电路</w:t>
            </w:r>
            <w:r>
              <w:rPr>
                <w:rFonts w:hint="eastAsia"/>
                <w:sz w:val="32"/>
                <w:szCs w:val="32"/>
              </w:rPr>
              <w:t>、新型显示、</w:t>
            </w:r>
            <w:r>
              <w:rPr>
                <w:sz w:val="32"/>
                <w:szCs w:val="32"/>
              </w:rPr>
              <w:t>高端装备制造、生物医药、</w:t>
            </w:r>
            <w:r>
              <w:rPr>
                <w:rFonts w:hint="eastAsia"/>
                <w:sz w:val="32"/>
                <w:szCs w:val="32"/>
              </w:rPr>
              <w:t>新能源</w:t>
            </w:r>
            <w:r>
              <w:rPr>
                <w:sz w:val="32"/>
                <w:szCs w:val="32"/>
              </w:rPr>
              <w:t>等重点产业集群，形成一批具有自主知识产权的原创性、标志性技术成果。</w:t>
            </w:r>
          </w:p>
          <w:p w:rsidR="000816CE" w:rsidRDefault="00FC7BEB" w:rsidP="006C0D30">
            <w:pPr>
              <w:pStyle w:val="a7"/>
              <w:ind w:firstLine="640"/>
              <w:rPr>
                <w:sz w:val="32"/>
                <w:szCs w:val="32"/>
              </w:rPr>
            </w:pPr>
            <w:r>
              <w:rPr>
                <w:rFonts w:hint="eastAsia"/>
                <w:b/>
                <w:bCs/>
                <w:sz w:val="32"/>
                <w:szCs w:val="32"/>
              </w:rPr>
              <w:t>主要项目：</w:t>
            </w:r>
            <w:r>
              <w:rPr>
                <w:rFonts w:hint="eastAsia"/>
                <w:sz w:val="32"/>
                <w:szCs w:val="32"/>
              </w:rPr>
              <w:t>鞋业“智能制造”研发中心、城厢区知识产权交易中心、智慧湄洲北斗应用项目、智慧海岛项目、莆田“城市大脑”数字智慧中心项目、鲤北科创城项目、互联网平台、区块链平台、工业互联网平台、石门澳产业园智慧园区科研综合服务中心、秀屿区智慧校园一体化大数据平台建设工程、莆田木材交易产业互联网平台、上塘银饰</w:t>
            </w:r>
            <w:r>
              <w:rPr>
                <w:rFonts w:hint="eastAsia"/>
                <w:sz w:val="32"/>
                <w:szCs w:val="32"/>
              </w:rPr>
              <w:t>5G</w:t>
            </w:r>
            <w:r>
              <w:rPr>
                <w:rFonts w:hint="eastAsia"/>
                <w:sz w:val="32"/>
                <w:szCs w:val="32"/>
              </w:rPr>
              <w:t>智能园区建设工程、莆田</w:t>
            </w:r>
            <w:r>
              <w:rPr>
                <w:rFonts w:eastAsia="仿宋_GB2312" w:hint="eastAsia"/>
                <w:bCs/>
                <w:sz w:val="32"/>
                <w:szCs w:val="32"/>
              </w:rPr>
              <w:t>电子信息产业技术研究院。</w:t>
            </w:r>
          </w:p>
        </w:tc>
      </w:tr>
    </w:tbl>
    <w:p w:rsidR="000816CE" w:rsidRDefault="000816CE" w:rsidP="006C0D30">
      <w:pPr>
        <w:pStyle w:val="1"/>
        <w:spacing w:beforeLines="100" w:after="156"/>
        <w:sectPr w:rsidR="000816CE">
          <w:pgSz w:w="11906" w:h="16838"/>
          <w:pgMar w:top="1327" w:right="1519" w:bottom="1417" w:left="1463" w:header="851" w:footer="992" w:gutter="0"/>
          <w:cols w:space="720"/>
          <w:docGrid w:type="lines" w:linePitch="312"/>
        </w:sectPr>
      </w:pPr>
    </w:p>
    <w:p w:rsidR="000816CE" w:rsidRDefault="00FC7BEB" w:rsidP="006C0D30">
      <w:pPr>
        <w:pStyle w:val="1"/>
        <w:spacing w:beforeLines="100" w:after="156"/>
      </w:pPr>
      <w:bookmarkStart w:id="22" w:name="_Toc12462"/>
      <w:r>
        <w:rPr>
          <w:rFonts w:hint="eastAsia"/>
        </w:rPr>
        <w:lastRenderedPageBreak/>
        <w:t>第五章</w:t>
      </w:r>
      <w:r>
        <w:rPr>
          <w:rFonts w:hint="eastAsia"/>
        </w:rPr>
        <w:t xml:space="preserve"> </w:t>
      </w:r>
      <w:r>
        <w:rPr>
          <w:rFonts w:hint="eastAsia"/>
        </w:rPr>
        <w:t>提升发展生活性服务业</w:t>
      </w:r>
      <w:bookmarkEnd w:id="22"/>
      <w:r>
        <w:rPr>
          <w:rFonts w:hint="eastAsia"/>
        </w:rPr>
        <w:t xml:space="preserve">     </w:t>
      </w:r>
    </w:p>
    <w:p w:rsidR="000816CE" w:rsidRDefault="00FC7BEB" w:rsidP="006C0D30">
      <w:pPr>
        <w:pStyle w:val="2"/>
        <w:spacing w:before="156" w:after="156"/>
        <w:ind w:firstLine="640"/>
        <w:rPr>
          <w:rFonts w:eastAsia="仿宋" w:hint="default"/>
        </w:rPr>
      </w:pPr>
      <w:bookmarkStart w:id="23" w:name="_Toc12768"/>
      <w:r>
        <w:t>（一）商贸流通</w:t>
      </w:r>
      <w:bookmarkEnd w:id="23"/>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pPr>
      <w:r>
        <w:rPr>
          <w:rFonts w:hint="eastAsia"/>
        </w:rPr>
        <w:t>围绕居民消费升级需要，以提升便利度和改善服务体验</w:t>
      </w:r>
      <w:r>
        <w:rPr>
          <w:rFonts w:hint="eastAsia"/>
        </w:rPr>
        <w:t>为导向，构建与莆田经济社会发展相匹配的便捷、安全、多元和可持续发展的现代商贸服务体系。到</w:t>
      </w:r>
      <w:r>
        <w:rPr>
          <w:rFonts w:hint="eastAsia"/>
        </w:rPr>
        <w:t>2025</w:t>
      </w:r>
      <w:r>
        <w:rPr>
          <w:rFonts w:hint="eastAsia"/>
        </w:rPr>
        <w:t>年，社会消费品零售总额突破</w:t>
      </w:r>
      <w:r>
        <w:rPr>
          <w:rFonts w:hint="eastAsia"/>
        </w:rPr>
        <w:t>2200</w:t>
      </w:r>
      <w:r>
        <w:rPr>
          <w:rFonts w:hint="eastAsia"/>
        </w:rPr>
        <w:t>亿元，年均增长</w:t>
      </w:r>
      <w:r>
        <w:rPr>
          <w:rFonts w:hint="eastAsia"/>
        </w:rPr>
        <w:t>6.4%</w:t>
      </w:r>
      <w:r>
        <w:rPr>
          <w:rFonts w:hint="eastAsia"/>
        </w:rPr>
        <w:t>。</w:t>
      </w:r>
    </w:p>
    <w:p w:rsidR="000816CE" w:rsidRDefault="00FC7BEB" w:rsidP="006C0D30">
      <w:pPr>
        <w:pStyle w:val="3"/>
        <w:spacing w:before="156" w:after="156"/>
        <w:ind w:firstLine="640"/>
        <w:rPr>
          <w:rFonts w:hint="default"/>
        </w:rPr>
      </w:pPr>
      <w:r>
        <w:t>2.</w:t>
      </w:r>
      <w:r>
        <w:t>主要任务</w:t>
      </w:r>
    </w:p>
    <w:p w:rsidR="000816CE" w:rsidRDefault="00FC7BEB">
      <w:pPr>
        <w:ind w:firstLine="640"/>
      </w:pPr>
      <w:r>
        <w:rPr>
          <w:rFonts w:hint="eastAsia"/>
        </w:rPr>
        <w:t>鼓励商贸流通业态与模式创新，加强商贸流通标准化建设和绿色发展，推进数字化、智能化改造和跨界融合，线上线下全渠道满足和提升消费需求。</w:t>
      </w:r>
    </w:p>
    <w:p w:rsidR="000816CE" w:rsidRDefault="00FC7BEB">
      <w:pPr>
        <w:ind w:firstLine="643"/>
        <w:rPr>
          <w:rFonts w:ascii="仿宋" w:hAnsi="仿宋" w:cs="仿宋"/>
        </w:rPr>
      </w:pPr>
      <w:r>
        <w:rPr>
          <w:rFonts w:eastAsia="仿宋_GB2312" w:hint="eastAsia"/>
          <w:b/>
          <w:bCs/>
        </w:rPr>
        <w:t>打造</w:t>
      </w:r>
      <w:r>
        <w:rPr>
          <w:rFonts w:eastAsia="仿宋_GB2312"/>
          <w:b/>
          <w:bCs/>
        </w:rPr>
        <w:t>多业态</w:t>
      </w:r>
      <w:r>
        <w:rPr>
          <w:rFonts w:eastAsia="仿宋_GB2312" w:hint="eastAsia"/>
          <w:b/>
          <w:bCs/>
        </w:rPr>
        <w:t>聚合示范</w:t>
      </w:r>
      <w:r>
        <w:rPr>
          <w:rFonts w:eastAsia="仿宋_GB2312"/>
          <w:b/>
          <w:bCs/>
        </w:rPr>
        <w:t>商圈</w:t>
      </w:r>
      <w:r>
        <w:rPr>
          <w:rFonts w:eastAsia="仿宋_GB2312" w:hint="eastAsia"/>
          <w:b/>
          <w:bCs/>
        </w:rPr>
        <w:t>。</w:t>
      </w:r>
      <w:r>
        <w:rPr>
          <w:rFonts w:ascii="仿宋" w:hAnsi="仿宋" w:cs="仿宋" w:hint="eastAsia"/>
        </w:rPr>
        <w:t>优化商圈规划布局，结合旧城改造和新城建设，合理建设和引进一批城市综合体项目。迎合新型消费理念，推动凤凰百货、天虹水韵城等核心商圈、商业中心、特色街区提档升级；鼓励国际国内商业品牌企业在莆</w:t>
      </w:r>
      <w:r>
        <w:rPr>
          <w:rFonts w:ascii="仿宋" w:hAnsi="仿宋" w:cs="仿宋" w:hint="eastAsia"/>
        </w:rPr>
        <w:t>开设品牌首店、总部首店，打造一批融合商贸销售、文体休闲、餐饮娱乐等</w:t>
      </w:r>
      <w:r>
        <w:rPr>
          <w:rFonts w:ascii="仿宋" w:hAnsi="仿宋" w:cs="仿宋" w:hint="eastAsia"/>
        </w:rPr>
        <w:lastRenderedPageBreak/>
        <w:t>多业态集聚的示范商圈。</w:t>
      </w:r>
      <w:r>
        <w:rPr>
          <w:rFonts w:eastAsia="仿宋_GB2312"/>
        </w:rPr>
        <w:t>加快县区商业中心集聚化发展，推进县巷文创街、金融一条街等特色街区建设，提升商圈消费。</w:t>
      </w:r>
    </w:p>
    <w:p w:rsidR="000816CE" w:rsidRDefault="00FC7BEB">
      <w:pPr>
        <w:ind w:firstLine="643"/>
        <w:rPr>
          <w:rFonts w:eastAsia="仿宋_GB2312"/>
        </w:rPr>
      </w:pPr>
      <w:r>
        <w:rPr>
          <w:rFonts w:eastAsia="仿宋_GB2312" w:hint="eastAsia"/>
          <w:b/>
          <w:bCs/>
        </w:rPr>
        <w:t>创新消费数字化新模式</w:t>
      </w:r>
      <w:r>
        <w:rPr>
          <w:rFonts w:ascii="仿宋" w:hAnsi="仿宋" w:cs="仿宋" w:hint="eastAsia"/>
          <w:b/>
          <w:bCs/>
        </w:rPr>
        <w:t>。</w:t>
      </w:r>
      <w:r>
        <w:rPr>
          <w:rFonts w:eastAsia="仿宋_GB2312" w:hint="eastAsia"/>
        </w:rPr>
        <w:t>深化</w:t>
      </w:r>
      <w:r>
        <w:rPr>
          <w:rFonts w:eastAsia="仿宋_GB2312" w:hint="eastAsia"/>
        </w:rPr>
        <w:t>5G</w:t>
      </w:r>
      <w:r>
        <w:rPr>
          <w:rFonts w:eastAsia="仿宋_GB2312" w:hint="eastAsia"/>
        </w:rPr>
        <w:t>、云计算等新一代信息技术在商贸业中的应用，</w:t>
      </w:r>
      <w:r>
        <w:rPr>
          <w:rFonts w:ascii="仿宋" w:hAnsi="仿宋" w:cs="仿宋" w:hint="eastAsia"/>
        </w:rPr>
        <w:t>推进数字化、智能化改造和跨界融合，创新发展在线消费、体验消费、场景消费、网红打卡消费等新业态、新模式。</w:t>
      </w:r>
      <w:r>
        <w:rPr>
          <w:rFonts w:eastAsia="仿宋_GB2312"/>
        </w:rPr>
        <w:t>实施</w:t>
      </w:r>
      <w:r>
        <w:rPr>
          <w:rFonts w:eastAsia="仿宋_GB2312" w:hint="eastAsia"/>
        </w:rPr>
        <w:t>“</w:t>
      </w:r>
      <w:r>
        <w:rPr>
          <w:rFonts w:eastAsia="仿宋_GB2312"/>
        </w:rPr>
        <w:t>莆田老字号</w:t>
      </w:r>
      <w:r>
        <w:rPr>
          <w:rFonts w:eastAsia="仿宋_GB2312" w:hint="eastAsia"/>
        </w:rPr>
        <w:t>”</w:t>
      </w:r>
      <w:r>
        <w:rPr>
          <w:rFonts w:eastAsia="仿宋_GB2312"/>
        </w:rPr>
        <w:t>振兴计划，</w:t>
      </w:r>
      <w:r>
        <w:rPr>
          <w:rFonts w:hint="eastAsia"/>
        </w:rPr>
        <w:t>鼓励企业积极申报“莆田老字号”称号，</w:t>
      </w:r>
      <w:r>
        <w:rPr>
          <w:rFonts w:eastAsia="仿宋_GB2312"/>
        </w:rPr>
        <w:t>发展传承老字号小店</w:t>
      </w:r>
      <w:r>
        <w:rPr>
          <w:rFonts w:eastAsia="仿宋_GB2312" w:hint="eastAsia"/>
        </w:rPr>
        <w:t>；通过</w:t>
      </w:r>
      <w:r>
        <w:rPr>
          <w:rFonts w:eastAsia="仿宋_GB2312"/>
        </w:rPr>
        <w:t>数字化改造传统小店</w:t>
      </w:r>
      <w:r>
        <w:rPr>
          <w:rFonts w:eastAsia="仿宋_GB2312" w:hint="eastAsia"/>
        </w:rPr>
        <w:t>，推动各类小店完善数字终端产品配置，改善消费品质，创新消费</w:t>
      </w:r>
      <w:r>
        <w:rPr>
          <w:rFonts w:eastAsia="仿宋_GB2312" w:hint="eastAsia"/>
        </w:rPr>
        <w:t>形式</w:t>
      </w:r>
      <w:r>
        <w:rPr>
          <w:rFonts w:eastAsia="仿宋_GB2312"/>
        </w:rPr>
        <w:t>。</w:t>
      </w:r>
    </w:p>
    <w:p w:rsidR="000816CE" w:rsidRDefault="00FC7BEB" w:rsidP="006C0D30">
      <w:pPr>
        <w:ind w:firstLine="640"/>
        <w:rPr>
          <w:rFonts w:ascii="仿宋" w:hAnsi="仿宋" w:cs="仿宋"/>
        </w:rPr>
      </w:pPr>
      <w:r>
        <w:rPr>
          <w:rFonts w:ascii="仿宋" w:hAnsi="仿宋" w:cs="仿宋" w:hint="eastAsia"/>
          <w:b/>
          <w:bCs/>
        </w:rPr>
        <w:t>完善社区农村消费环境。</w:t>
      </w:r>
      <w:r>
        <w:rPr>
          <w:rFonts w:ascii="仿宋" w:hAnsi="仿宋" w:cs="仿宋" w:hint="eastAsia"/>
        </w:rPr>
        <w:t>加强社区和农村生活消费基础设施建设，优化莆田社区、农村服务网点设置，加快农村物流、冷链物流配套发展，完善农村供应物流体系，争取实现乡乡有网点、村村有服务，农产品运得出、消费品进得去。鼓励便利店、生鲜超市等进行特色化经营、差异化定位，加快推进高端社区便利店、生鲜超市连锁店建设，提高餐饮、配送、住宿等商贸服务品质，打造</w:t>
      </w:r>
      <w:r>
        <w:t>15</w:t>
      </w:r>
      <w:r>
        <w:rPr>
          <w:rFonts w:ascii="仿宋" w:hAnsi="仿宋" w:cs="仿宋" w:hint="eastAsia"/>
        </w:rPr>
        <w:t>分钟便民生活、消费服务圈。</w:t>
      </w:r>
    </w:p>
    <w:p w:rsidR="000816CE" w:rsidRDefault="00FC7BEB" w:rsidP="006C0D30">
      <w:pPr>
        <w:ind w:firstLine="640"/>
        <w:rPr>
          <w:rFonts w:ascii="仿宋" w:eastAsia="仿宋_GB2312" w:hAnsi="仿宋" w:cs="仿宋"/>
        </w:rPr>
      </w:pPr>
      <w:r>
        <w:rPr>
          <w:rFonts w:ascii="仿宋" w:hAnsi="仿宋" w:cs="仿宋" w:hint="eastAsia"/>
          <w:b/>
          <w:bCs/>
        </w:rPr>
        <w:t>推动农村消费梯次升级。加快</w:t>
      </w:r>
      <w:r>
        <w:rPr>
          <w:rFonts w:eastAsia="仿宋_GB2312"/>
        </w:rPr>
        <w:t>实施</w:t>
      </w:r>
      <w:r>
        <w:rPr>
          <w:rFonts w:eastAsia="仿宋_GB2312" w:hint="eastAsia"/>
        </w:rPr>
        <w:t>莆田</w:t>
      </w:r>
      <w:r>
        <w:rPr>
          <w:rFonts w:eastAsia="仿宋_GB2312"/>
        </w:rPr>
        <w:t>农贸市场标准化建设</w:t>
      </w:r>
      <w:r>
        <w:rPr>
          <w:rFonts w:eastAsia="仿宋_GB2312"/>
        </w:rPr>
        <w:lastRenderedPageBreak/>
        <w:t>三年行动计划，</w:t>
      </w:r>
      <w:r>
        <w:rPr>
          <w:rFonts w:eastAsia="仿宋_GB2312" w:hint="eastAsia"/>
        </w:rPr>
        <w:t>通过规划一批、政策扶持一批、标准化改造一批、淘汰退出一批，建立起以农产品超市为主、标准化农贸市场为辅，布局合理、规范管理、便民放心的生鲜食品流通网络，</w:t>
      </w:r>
      <w:r>
        <w:rPr>
          <w:rFonts w:eastAsia="仿宋_GB2312"/>
        </w:rPr>
        <w:t>打通服务群众最后一公里，推动农村消费</w:t>
      </w:r>
      <w:r>
        <w:rPr>
          <w:rFonts w:eastAsia="仿宋_GB2312" w:hint="eastAsia"/>
        </w:rPr>
        <w:t>提质升级</w:t>
      </w:r>
      <w:r>
        <w:rPr>
          <w:rFonts w:eastAsia="仿宋_GB2312"/>
        </w:rPr>
        <w:t>。</w:t>
      </w:r>
    </w:p>
    <w:tbl>
      <w:tblPr>
        <w:tblStyle w:val="ac"/>
        <w:tblW w:w="8900" w:type="dxa"/>
        <w:tblLayout w:type="fixed"/>
        <w:tblLook w:val="04A0"/>
      </w:tblPr>
      <w:tblGrid>
        <w:gridCol w:w="8900"/>
      </w:tblGrid>
      <w:tr w:rsidR="000816CE">
        <w:tc>
          <w:tcPr>
            <w:tcW w:w="8900" w:type="dxa"/>
            <w:shd w:val="clear" w:color="auto" w:fill="DAEEF3"/>
          </w:tcPr>
          <w:p w:rsidR="000816CE" w:rsidRDefault="00FC7BEB">
            <w:pPr>
              <w:pStyle w:val="a6"/>
              <w:snapToGrid/>
            </w:pPr>
            <w:r>
              <w:rPr>
                <w:rFonts w:hint="eastAsia"/>
              </w:rPr>
              <w:t>专栏</w:t>
            </w:r>
            <w:r>
              <w:rPr>
                <w:rFonts w:hint="eastAsia"/>
              </w:rPr>
              <w:t xml:space="preserve">6  </w:t>
            </w:r>
            <w:r>
              <w:rPr>
                <w:rFonts w:eastAsia="仿宋_GB2312" w:hint="eastAsia"/>
              </w:rPr>
              <w:t>商贸经济转型升级</w:t>
            </w:r>
            <w:r>
              <w:rPr>
                <w:rFonts w:hint="eastAsia"/>
              </w:rPr>
              <w:t>工程</w:t>
            </w:r>
          </w:p>
        </w:tc>
      </w:tr>
      <w:tr w:rsidR="000816CE">
        <w:tc>
          <w:tcPr>
            <w:tcW w:w="8900" w:type="dxa"/>
          </w:tcPr>
          <w:p w:rsidR="000816CE" w:rsidRDefault="00FC7BEB">
            <w:pPr>
              <w:widowControl/>
              <w:numPr>
                <w:ilvl w:val="255"/>
                <w:numId w:val="0"/>
              </w:numPr>
              <w:adjustRightInd/>
              <w:snapToGrid/>
              <w:spacing w:line="240" w:lineRule="auto"/>
              <w:ind w:firstLine="672"/>
              <w:jc w:val="left"/>
              <w:rPr>
                <w:rFonts w:eastAsia="仿宋_GB2312"/>
                <w:b/>
                <w:bCs/>
              </w:rPr>
            </w:pPr>
            <w:r>
              <w:rPr>
                <w:rFonts w:eastAsia="仿宋_GB2312" w:hint="eastAsia"/>
                <w:b/>
                <w:bCs/>
              </w:rPr>
              <w:t>——</w:t>
            </w:r>
            <w:r>
              <w:rPr>
                <w:rFonts w:eastAsia="仿宋_GB2312"/>
                <w:b/>
                <w:bCs/>
              </w:rPr>
              <w:t>多业态集聚</w:t>
            </w:r>
            <w:r>
              <w:rPr>
                <w:rFonts w:eastAsia="仿宋_GB2312" w:hint="eastAsia"/>
                <w:b/>
                <w:bCs/>
              </w:rPr>
              <w:t>示范</w:t>
            </w:r>
            <w:r>
              <w:rPr>
                <w:rFonts w:eastAsia="仿宋_GB2312"/>
                <w:b/>
                <w:bCs/>
              </w:rPr>
              <w:t>商圈</w:t>
            </w:r>
            <w:r>
              <w:rPr>
                <w:rFonts w:eastAsia="仿宋_GB2312" w:hint="eastAsia"/>
                <w:b/>
                <w:bCs/>
              </w:rPr>
              <w:t>工程</w:t>
            </w:r>
          </w:p>
          <w:p w:rsidR="000816CE" w:rsidRDefault="00FC7BEB">
            <w:pPr>
              <w:widowControl/>
              <w:numPr>
                <w:ilvl w:val="255"/>
                <w:numId w:val="0"/>
              </w:numPr>
              <w:adjustRightInd/>
              <w:snapToGrid/>
              <w:spacing w:line="240" w:lineRule="auto"/>
              <w:ind w:firstLine="672"/>
              <w:jc w:val="left"/>
              <w:rPr>
                <w:rFonts w:eastAsia="仿宋_GB2312"/>
              </w:rPr>
            </w:pPr>
            <w:r>
              <w:rPr>
                <w:rFonts w:eastAsia="仿宋_GB2312" w:hint="eastAsia"/>
              </w:rPr>
              <w:t>积极引进品牌首店、总部首店，植入多种高端业态，提升荔城区阳光</w:t>
            </w:r>
            <w:r>
              <w:rPr>
                <w:rFonts w:eastAsia="仿宋_GB2312" w:hint="eastAsia"/>
              </w:rPr>
              <w:t>100</w:t>
            </w:r>
            <w:r>
              <w:rPr>
                <w:rFonts w:eastAsia="仿宋_GB2312" w:hint="eastAsia"/>
              </w:rPr>
              <w:t>凤凰广场、仙游中俊世界城、万达商圈、正荣财富中心、水韵城等商圈品质，加快推进秀屿区铜锣湾万达广场建设进度，促进中高端消费。加快智慧服务平台建设，推动“无人零售”“智慧零售”发展，打造智慧商圈、生态商圈。</w:t>
            </w:r>
          </w:p>
          <w:p w:rsidR="000816CE" w:rsidRDefault="00FC7BEB">
            <w:pPr>
              <w:widowControl/>
              <w:numPr>
                <w:ilvl w:val="255"/>
                <w:numId w:val="0"/>
              </w:numPr>
              <w:adjustRightInd/>
              <w:snapToGrid/>
              <w:spacing w:line="240" w:lineRule="auto"/>
              <w:ind w:firstLine="672"/>
              <w:jc w:val="left"/>
              <w:rPr>
                <w:rFonts w:eastAsia="仿宋_GB2312"/>
                <w:b/>
                <w:bCs/>
              </w:rPr>
            </w:pPr>
            <w:r>
              <w:rPr>
                <w:rFonts w:eastAsia="仿宋_GB2312" w:hint="eastAsia"/>
                <w:b/>
                <w:bCs/>
              </w:rPr>
              <w:t>——消费服务创新工程</w:t>
            </w:r>
          </w:p>
          <w:p w:rsidR="000816CE" w:rsidRDefault="00FC7BEB">
            <w:pPr>
              <w:widowControl/>
              <w:numPr>
                <w:ilvl w:val="255"/>
                <w:numId w:val="0"/>
              </w:numPr>
              <w:adjustRightInd/>
              <w:snapToGrid/>
              <w:spacing w:line="240" w:lineRule="auto"/>
              <w:ind w:firstLine="672"/>
              <w:jc w:val="left"/>
              <w:rPr>
                <w:rFonts w:eastAsia="仿宋_GB2312"/>
              </w:rPr>
            </w:pPr>
            <w:r>
              <w:rPr>
                <w:rFonts w:eastAsia="仿宋_GB2312" w:hint="eastAsia"/>
              </w:rPr>
              <w:t>持续开展“全闽乐购”莆田行动，深挖夜间经济、假日经济、母婴经济等消费热点。扩大“百家餐饮名店”“十大美食达人”“十大美食匠人”影响力，开展“百道名菜进社区、百名名师莆田行”等系列美食宣传推介活动，做大“莆田餐巴”线上平台</w:t>
            </w:r>
            <w:r>
              <w:rPr>
                <w:rFonts w:eastAsia="仿宋_GB2312" w:hint="eastAsia"/>
              </w:rPr>
              <w:t>，鼓励企业创新菜品，推动特色住宿餐饮数字化转型升级，开展线上订餐和无接触配送服务，促进“餐饮</w:t>
            </w:r>
            <w:r>
              <w:rPr>
                <w:rFonts w:eastAsia="仿宋_GB2312" w:hint="eastAsia"/>
              </w:rPr>
              <w:t>+</w:t>
            </w:r>
            <w:r>
              <w:rPr>
                <w:rFonts w:eastAsia="仿宋_GB2312" w:hint="eastAsia"/>
              </w:rPr>
              <w:t>文旅</w:t>
            </w:r>
            <w:r>
              <w:rPr>
                <w:rFonts w:eastAsia="仿宋_GB2312" w:hint="eastAsia"/>
              </w:rPr>
              <w:t>+</w:t>
            </w:r>
            <w:r>
              <w:rPr>
                <w:rFonts w:eastAsia="仿宋_GB2312" w:hint="eastAsia"/>
              </w:rPr>
              <w:t>住宿”融合消费。</w:t>
            </w:r>
          </w:p>
          <w:p w:rsidR="000816CE" w:rsidRDefault="00FC7BEB">
            <w:pPr>
              <w:widowControl/>
              <w:numPr>
                <w:ilvl w:val="255"/>
                <w:numId w:val="0"/>
              </w:numPr>
              <w:adjustRightInd/>
              <w:snapToGrid/>
              <w:spacing w:line="240" w:lineRule="auto"/>
              <w:ind w:firstLine="672"/>
              <w:jc w:val="left"/>
              <w:rPr>
                <w:rFonts w:eastAsia="仿宋_GB2312"/>
              </w:rPr>
            </w:pPr>
            <w:r>
              <w:rPr>
                <w:rFonts w:eastAsia="仿宋_GB2312" w:hint="eastAsia"/>
              </w:rPr>
              <w:t>——</w:t>
            </w:r>
            <w:r>
              <w:rPr>
                <w:rFonts w:ascii="仿宋" w:hAnsi="仿宋" w:cs="仿宋" w:hint="eastAsia"/>
                <w:b/>
                <w:bCs/>
              </w:rPr>
              <w:t>传统消费提升工程</w:t>
            </w:r>
          </w:p>
          <w:p w:rsidR="000816CE" w:rsidRDefault="00FC7BEB">
            <w:pPr>
              <w:widowControl/>
              <w:numPr>
                <w:ilvl w:val="255"/>
                <w:numId w:val="0"/>
              </w:numPr>
              <w:adjustRightInd/>
              <w:snapToGrid/>
              <w:spacing w:line="240" w:lineRule="auto"/>
              <w:ind w:firstLine="672"/>
              <w:jc w:val="left"/>
              <w:rPr>
                <w:rFonts w:eastAsia="仿宋_GB2312"/>
              </w:rPr>
            </w:pPr>
            <w:r>
              <w:rPr>
                <w:rFonts w:eastAsia="仿宋_GB2312" w:hint="eastAsia"/>
              </w:rPr>
              <w:t>健全强制报废制度和废旧家电、消费电子等耐用消费品回收处理体系，畅通汽车、家电、家具等大件商品消费链条，支</w:t>
            </w:r>
            <w:r>
              <w:rPr>
                <w:rFonts w:eastAsia="仿宋_GB2312" w:hint="eastAsia"/>
              </w:rPr>
              <w:lastRenderedPageBreak/>
              <w:t>持本市汽车流通行业相关商协会或相关单位组织开展“汽车下乡”巡展促销活动，支持各县（区）人民政府（管委会）发放汽车消费券，争取扩大新能源汽车消费。鼓励电商进农村，发展乡村消费，支持乡镇商贸中心建设，打造联结城乡消费的重要节点。</w:t>
            </w:r>
          </w:p>
          <w:p w:rsidR="000816CE" w:rsidRDefault="00FC7BEB" w:rsidP="006C0D30">
            <w:pPr>
              <w:widowControl/>
              <w:ind w:firstLine="640"/>
              <w:jc w:val="left"/>
            </w:pPr>
            <w:r>
              <w:rPr>
                <w:rFonts w:hint="eastAsia"/>
                <w:b/>
                <w:bCs/>
              </w:rPr>
              <w:t>主要项目：</w:t>
            </w:r>
            <w:r>
              <w:rPr>
                <w:rFonts w:hint="eastAsia"/>
              </w:rPr>
              <w:t>美食城古典商业街项目、家居零售广</w:t>
            </w:r>
            <w:r>
              <w:rPr>
                <w:rFonts w:hint="eastAsia"/>
              </w:rPr>
              <w:t>场项目、郊尾新城开发项目、万佳酒店、六编六雕展销区项目、莆田市海吉星农产品综合产业园、定点屠宰场迁建项目、市会展中心酒店建设、海洋健康食品区域总部项目通江国际创意工艺广场三期工程、洋西联发电商城城市购物广场、霞皋农贸市场综合体、东海镇钢材批发交易中心、金桥路五金批发一条街建设工程、小吃一条街、金航展黄金珠宝创意产业园、北高珠宝城、红星·国际广场项目、湄洲岛大型商业综合广场、城南市场改造提升工程、三迪五星级酒店项目。</w:t>
            </w:r>
          </w:p>
        </w:tc>
      </w:tr>
    </w:tbl>
    <w:p w:rsidR="000816CE" w:rsidRDefault="00FC7BEB" w:rsidP="006C0D30">
      <w:pPr>
        <w:pStyle w:val="2"/>
        <w:snapToGrid/>
        <w:spacing w:beforeLines="150" w:after="156"/>
        <w:ind w:firstLine="640"/>
        <w:rPr>
          <w:rFonts w:eastAsia="仿宋" w:hint="default"/>
        </w:rPr>
      </w:pPr>
      <w:bookmarkStart w:id="24" w:name="_Toc13212"/>
      <w:r>
        <w:lastRenderedPageBreak/>
        <w:t>（二）文化旅游</w:t>
      </w:r>
      <w:bookmarkEnd w:id="24"/>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rPr>
          <w:rFonts w:ascii="仿宋" w:hAnsi="仿宋"/>
        </w:rPr>
      </w:pPr>
      <w:r>
        <w:rPr>
          <w:rFonts w:ascii="仿宋" w:hAnsi="仿宋" w:hint="eastAsia"/>
        </w:rPr>
        <w:t>深化文化与旅游多形式融合，打造多核发展的莆田现代化</w:t>
      </w:r>
      <w:r>
        <w:rPr>
          <w:rFonts w:ascii="仿宋" w:hAnsi="仿宋" w:hint="eastAsia"/>
        </w:rPr>
        <w:t>文</w:t>
      </w:r>
      <w:r>
        <w:rPr>
          <w:rFonts w:ascii="仿宋" w:hAnsi="仿宋" w:hint="eastAsia"/>
        </w:rPr>
        <w:lastRenderedPageBreak/>
        <w:t>旅</w:t>
      </w:r>
      <w:r>
        <w:rPr>
          <w:rFonts w:hint="eastAsia"/>
        </w:rPr>
        <w:t>体系，塑造全国知名文化旅游品牌，促进文旅产业消费升级。到</w:t>
      </w:r>
      <w:r>
        <w:t>2025</w:t>
      </w:r>
      <w:r>
        <w:t>年，旅游总收入突破</w:t>
      </w:r>
      <w:r>
        <w:t>435</w:t>
      </w:r>
      <w:r>
        <w:t>亿元，年均增长</w:t>
      </w:r>
      <w:r>
        <w:t>10%</w:t>
      </w:r>
      <w:r>
        <w:t>；新增</w:t>
      </w:r>
      <w:r>
        <w:t>3A</w:t>
      </w:r>
      <w:r>
        <w:t>级景区</w:t>
      </w:r>
      <w:r>
        <w:t>5</w:t>
      </w:r>
      <w:r>
        <w:t>家、</w:t>
      </w:r>
      <w:r>
        <w:t>4A</w:t>
      </w:r>
      <w:r>
        <w:t>级</w:t>
      </w:r>
      <w:r>
        <w:t>3</w:t>
      </w:r>
      <w:r>
        <w:rPr>
          <w:rFonts w:hint="eastAsia"/>
        </w:rPr>
        <w:t>家</w:t>
      </w:r>
      <w:r>
        <w:t>和</w:t>
      </w:r>
      <w:r>
        <w:t>5A</w:t>
      </w:r>
      <w:r>
        <w:t>级</w:t>
      </w:r>
      <w:r>
        <w:t>1</w:t>
      </w:r>
      <w:r>
        <w:t>家。</w:t>
      </w:r>
    </w:p>
    <w:p w:rsidR="000816CE" w:rsidRDefault="00FC7BEB" w:rsidP="006C0D30">
      <w:pPr>
        <w:pStyle w:val="3"/>
        <w:spacing w:before="156" w:after="156"/>
        <w:ind w:firstLine="640"/>
        <w:rPr>
          <w:rFonts w:hint="default"/>
        </w:rPr>
      </w:pPr>
      <w:r>
        <w:t>2.</w:t>
      </w:r>
      <w:r>
        <w:t>主要任务</w:t>
      </w:r>
    </w:p>
    <w:p w:rsidR="000816CE" w:rsidRDefault="00FC7BEB">
      <w:pPr>
        <w:ind w:firstLine="640"/>
        <w:rPr>
          <w:rFonts w:ascii="仿宋" w:hAnsi="仿宋"/>
        </w:rPr>
      </w:pPr>
      <w:r>
        <w:rPr>
          <w:rFonts w:ascii="仿宋" w:hAnsi="仿宋" w:hint="eastAsia"/>
        </w:rPr>
        <w:t>统筹保护莆田市旅游资源，深入挖掘文化内涵，持续推进文化和旅游深度融合，积极发展智慧旅游、大众旅游，更好地满足人民群众多层次旅游需求。</w:t>
      </w:r>
    </w:p>
    <w:p w:rsidR="000816CE" w:rsidRDefault="00FC7BEB" w:rsidP="006C0D30">
      <w:pPr>
        <w:ind w:firstLine="640"/>
        <w:rPr>
          <w:rFonts w:ascii="仿宋" w:hAnsi="仿宋"/>
        </w:rPr>
      </w:pPr>
      <w:r>
        <w:rPr>
          <w:rFonts w:ascii="仿宋" w:hAnsi="仿宋" w:hint="eastAsia"/>
          <w:b/>
          <w:bCs/>
        </w:rPr>
        <w:t>搭建景观带式文旅景区。</w:t>
      </w:r>
      <w:r>
        <w:rPr>
          <w:rFonts w:ascii="仿宋" w:hAnsi="仿宋" w:hint="eastAsia"/>
        </w:rPr>
        <w:t>围绕片区核心景点，重点打造滨海、沿溪、名城、山脉等四大主题景观带，加快形成除湄洲岛以外的莆田文化旅游名片，形成多核协调发展的莆田文旅体系。景观带内周边形成区域性联动，结合核心景点特色，推动森林休闲、温泉度假、康体养生、研学科考、体育休闲、野外拓展等生态休闲旅游项目建设，规划精品旅游路线，丰富游客旅游体验，拓宽区域旅游体量，有效提高莆田文旅在全国范围内的知名度。</w:t>
      </w:r>
    </w:p>
    <w:p w:rsidR="000816CE" w:rsidRDefault="00FC7BEB" w:rsidP="006C0D30">
      <w:pPr>
        <w:ind w:firstLine="640"/>
        <w:rPr>
          <w:rFonts w:ascii="仿宋" w:hAnsi="仿宋"/>
        </w:rPr>
      </w:pPr>
      <w:r>
        <w:rPr>
          <w:rFonts w:ascii="仿宋" w:hAnsi="仿宋" w:hint="eastAsia"/>
          <w:b/>
          <w:bCs/>
        </w:rPr>
        <w:t>推进文化旅游产业延伸。</w:t>
      </w:r>
      <w:r>
        <w:rPr>
          <w:rFonts w:ascii="仿宋" w:hAnsi="仿宋" w:hint="eastAsia"/>
        </w:rPr>
        <w:t>多方位、多角度推进具有莆田特色的文旅融合工程，深入挖掘游客需求，打造</w:t>
      </w:r>
      <w:r>
        <w:rPr>
          <w:rFonts w:ascii="仿宋" w:hAnsi="仿宋"/>
        </w:rPr>
        <w:t>“</w:t>
      </w:r>
      <w:r>
        <w:rPr>
          <w:rFonts w:ascii="仿宋" w:hAnsi="仿宋"/>
        </w:rPr>
        <w:t>文旅</w:t>
      </w:r>
      <w:r>
        <w:rPr>
          <w:rFonts w:ascii="仿宋" w:hAnsi="仿宋"/>
        </w:rPr>
        <w:t>+</w:t>
      </w:r>
      <w:r>
        <w:rPr>
          <w:rFonts w:ascii="仿宋" w:hAnsi="仿宋"/>
        </w:rPr>
        <w:t>工业</w:t>
      </w:r>
      <w:r>
        <w:rPr>
          <w:rFonts w:ascii="仿宋" w:hAnsi="仿宋"/>
        </w:rPr>
        <w:t>”“</w:t>
      </w:r>
      <w:r>
        <w:rPr>
          <w:rFonts w:ascii="仿宋" w:hAnsi="仿宋"/>
        </w:rPr>
        <w:t>文旅</w:t>
      </w:r>
      <w:r>
        <w:rPr>
          <w:rFonts w:ascii="仿宋" w:hAnsi="仿宋"/>
        </w:rPr>
        <w:t>+</w:t>
      </w:r>
      <w:r>
        <w:rPr>
          <w:rFonts w:ascii="仿宋" w:hAnsi="仿宋"/>
        </w:rPr>
        <w:t>农</w:t>
      </w:r>
      <w:r>
        <w:rPr>
          <w:rFonts w:ascii="仿宋" w:hAnsi="仿宋"/>
        </w:rPr>
        <w:lastRenderedPageBreak/>
        <w:t>业</w:t>
      </w:r>
      <w:r>
        <w:rPr>
          <w:rFonts w:ascii="仿宋" w:hAnsi="仿宋"/>
        </w:rPr>
        <w:t>”“</w:t>
      </w:r>
      <w:r>
        <w:rPr>
          <w:rFonts w:ascii="仿宋" w:hAnsi="仿宋"/>
        </w:rPr>
        <w:t>文旅</w:t>
      </w:r>
      <w:r>
        <w:rPr>
          <w:rFonts w:ascii="仿宋" w:hAnsi="仿宋"/>
        </w:rPr>
        <w:t>+</w:t>
      </w:r>
      <w:r>
        <w:rPr>
          <w:rFonts w:ascii="仿宋" w:hAnsi="仿宋"/>
        </w:rPr>
        <w:t>康养</w:t>
      </w:r>
      <w:r>
        <w:rPr>
          <w:rFonts w:ascii="仿宋" w:hAnsi="仿宋"/>
        </w:rPr>
        <w:t>”</w:t>
      </w:r>
      <w:r>
        <w:rPr>
          <w:rFonts w:ascii="仿宋" w:hAnsi="仿宋" w:hint="eastAsia"/>
        </w:rPr>
        <w:t>“文旅</w:t>
      </w:r>
      <w:r>
        <w:rPr>
          <w:rFonts w:ascii="仿宋" w:hAnsi="仿宋"/>
        </w:rPr>
        <w:t>+</w:t>
      </w:r>
      <w:r>
        <w:rPr>
          <w:rFonts w:ascii="仿宋" w:hAnsi="仿宋"/>
        </w:rPr>
        <w:t>教育</w:t>
      </w:r>
      <w:r>
        <w:rPr>
          <w:rFonts w:ascii="仿宋" w:hAnsi="仿宋"/>
        </w:rPr>
        <w:t>”“</w:t>
      </w:r>
      <w:r>
        <w:rPr>
          <w:rFonts w:ascii="仿宋" w:hAnsi="仿宋"/>
        </w:rPr>
        <w:t>文旅</w:t>
      </w:r>
      <w:r>
        <w:rPr>
          <w:rFonts w:ascii="仿宋" w:hAnsi="仿宋"/>
        </w:rPr>
        <w:t>+</w:t>
      </w:r>
      <w:r>
        <w:rPr>
          <w:rFonts w:ascii="仿宋" w:hAnsi="仿宋"/>
        </w:rPr>
        <w:t>水利</w:t>
      </w:r>
      <w:r>
        <w:rPr>
          <w:rFonts w:ascii="仿宋" w:hAnsi="仿宋"/>
        </w:rPr>
        <w:t>”</w:t>
      </w:r>
      <w:r>
        <w:rPr>
          <w:rFonts w:ascii="仿宋" w:hAnsi="仿宋"/>
        </w:rPr>
        <w:t>等</w:t>
      </w:r>
      <w:r>
        <w:rPr>
          <w:rFonts w:ascii="仿宋" w:hAnsi="仿宋" w:hint="eastAsia"/>
        </w:rPr>
        <w:t>跨维度</w:t>
      </w:r>
      <w:r>
        <w:rPr>
          <w:rFonts w:ascii="仿宋" w:hAnsi="仿宋"/>
        </w:rPr>
        <w:t>融合延伸工程</w:t>
      </w:r>
      <w:r>
        <w:rPr>
          <w:rFonts w:ascii="仿宋" w:hAnsi="仿宋" w:hint="eastAsia"/>
        </w:rPr>
        <w:t>，以更加多元化、更具针对化的元素满足不同游客群体的文旅需求，探索文旅产业全新增长极</w:t>
      </w:r>
      <w:r>
        <w:rPr>
          <w:rFonts w:ascii="仿宋" w:hAnsi="仿宋"/>
        </w:rPr>
        <w:t>。</w:t>
      </w:r>
      <w:r>
        <w:rPr>
          <w:rFonts w:ascii="仿宋" w:hAnsi="仿宋" w:hint="eastAsia"/>
        </w:rPr>
        <w:t>依托莆田产业发展基础，推广“啤酒小镇”“妈祖健康城”模式，鼓励具有莆田特色的企业参与“文旅</w:t>
      </w:r>
      <w:r>
        <w:rPr>
          <w:rFonts w:ascii="仿宋" w:hAnsi="仿宋" w:hint="eastAsia"/>
        </w:rPr>
        <w:t>+</w:t>
      </w:r>
      <w:r>
        <w:rPr>
          <w:rFonts w:ascii="仿宋" w:hAnsi="仿宋" w:hint="eastAsia"/>
        </w:rPr>
        <w:t>工业”“文旅</w:t>
      </w:r>
      <w:r>
        <w:rPr>
          <w:rFonts w:ascii="仿宋" w:hAnsi="仿宋"/>
        </w:rPr>
        <w:t>+</w:t>
      </w:r>
      <w:r>
        <w:rPr>
          <w:rFonts w:ascii="仿宋" w:hAnsi="仿宋" w:hint="eastAsia"/>
        </w:rPr>
        <w:t>康养”等项目建设工程。</w:t>
      </w:r>
    </w:p>
    <w:p w:rsidR="000816CE" w:rsidRDefault="00FC7BEB" w:rsidP="006C0D30">
      <w:pPr>
        <w:ind w:firstLine="640"/>
        <w:rPr>
          <w:rFonts w:ascii="仿宋" w:hAnsi="仿宋"/>
        </w:rPr>
      </w:pPr>
      <w:r>
        <w:rPr>
          <w:rFonts w:ascii="仿宋" w:hAnsi="仿宋" w:hint="eastAsia"/>
          <w:b/>
          <w:bCs/>
        </w:rPr>
        <w:t>促进文旅产业消费升级。</w:t>
      </w:r>
      <w:r>
        <w:rPr>
          <w:rFonts w:ascii="仿宋" w:hAnsi="仿宋" w:hint="eastAsia"/>
        </w:rPr>
        <w:t>着力提升莆田文旅消费品牌知名度，鼓励更多传统手艺传承人参与品牌建设，完善旅游商品研发产销体系。建立黄石工艺美术产业集聚区、仙游工艺博览集聚区、南少林禅文化集聚区、涵江红色研学旅行集聚区等具有莆田特色的旅游商品研发生产基地和集聚区，加速传统工艺适应现代市场，丰富莆田特色化伴手礼，进一步打开莆田旅游文创商品市场。积极开展夜间文化演出活动，优化文化和旅游场所的夜间餐饮、购物、演艺等服务，发展景区夜间经济，提升在莆旅游夜间体验。</w:t>
      </w:r>
    </w:p>
    <w:p w:rsidR="000816CE" w:rsidRDefault="00FC7BEB" w:rsidP="006C0D30">
      <w:pPr>
        <w:ind w:firstLine="640"/>
      </w:pPr>
      <w:r>
        <w:rPr>
          <w:rFonts w:ascii="仿宋" w:hAnsi="仿宋" w:hint="eastAsia"/>
          <w:b/>
          <w:bCs/>
        </w:rPr>
        <w:t>推进文旅产业智慧转型。</w:t>
      </w:r>
      <w:r>
        <w:rPr>
          <w:rFonts w:ascii="仿宋" w:hAnsi="仿宋" w:hint="eastAsia"/>
        </w:rPr>
        <w:t>优化旅游交通服务，科学规划线路、站点设置，提供智能化出行信息服务</w:t>
      </w:r>
      <w:r>
        <w:rPr>
          <w:rFonts w:ascii="仿宋" w:hAnsi="仿宋" w:hint="eastAsia"/>
        </w:rPr>
        <w:t>。提升博物馆、美术馆、纪念馆等场所数字化水平，推进景区智能化、网络化改造，为游客</w:t>
      </w:r>
      <w:r>
        <w:rPr>
          <w:rFonts w:ascii="仿宋" w:hAnsi="仿宋" w:hint="eastAsia"/>
        </w:rPr>
        <w:lastRenderedPageBreak/>
        <w:t>提供莆田文旅“一手掌握”服务；推动莆田景区现代化基础设施建设、产品创新和项目升级，提升旅游过程之中的文化沉浸感、认同感。重点发展新兴科技型旅游娱乐，</w:t>
      </w:r>
      <w:r>
        <w:rPr>
          <w:rFonts w:hint="eastAsia"/>
        </w:rPr>
        <w:t>探索利用</w:t>
      </w:r>
      <w:r>
        <w:t>5G</w:t>
      </w:r>
      <w:r>
        <w:rPr>
          <w:rFonts w:hint="eastAsia"/>
        </w:rPr>
        <w:t>、增强</w:t>
      </w:r>
      <w:r>
        <w:rPr>
          <w:rFonts w:ascii="仿宋" w:hAnsi="仿宋" w:hint="eastAsia"/>
        </w:rPr>
        <w:t>现实、虚拟现实、超清显示等技术打造的新型旅游体验。</w:t>
      </w:r>
    </w:p>
    <w:tbl>
      <w:tblPr>
        <w:tblStyle w:val="ac"/>
        <w:tblW w:w="8826" w:type="dxa"/>
        <w:tblInd w:w="115" w:type="dxa"/>
        <w:tblLayout w:type="fixed"/>
        <w:tblLook w:val="04A0"/>
      </w:tblPr>
      <w:tblGrid>
        <w:gridCol w:w="8826"/>
      </w:tblGrid>
      <w:tr w:rsidR="000816CE">
        <w:tc>
          <w:tcPr>
            <w:tcW w:w="8826" w:type="dxa"/>
            <w:shd w:val="clear" w:color="auto" w:fill="DAEEF3"/>
          </w:tcPr>
          <w:p w:rsidR="000816CE" w:rsidRDefault="00FC7BEB">
            <w:pPr>
              <w:pStyle w:val="a6"/>
              <w:snapToGrid/>
            </w:pPr>
            <w:r>
              <w:rPr>
                <w:rFonts w:hint="eastAsia"/>
              </w:rPr>
              <w:t>专栏</w:t>
            </w:r>
            <w:r>
              <w:rPr>
                <w:rFonts w:hint="eastAsia"/>
              </w:rPr>
              <w:t xml:space="preserve">7  </w:t>
            </w:r>
            <w:r>
              <w:rPr>
                <w:rFonts w:eastAsia="仿宋_GB2312"/>
                <w:bCs/>
                <w:color w:val="000000"/>
              </w:rPr>
              <w:t>文化旅游</w:t>
            </w:r>
            <w:r>
              <w:rPr>
                <w:rFonts w:eastAsia="仿宋_GB2312" w:hint="eastAsia"/>
                <w:bCs/>
                <w:color w:val="000000"/>
              </w:rPr>
              <w:t>景观带</w:t>
            </w:r>
            <w:r>
              <w:rPr>
                <w:rFonts w:hint="eastAsia"/>
              </w:rPr>
              <w:t>工程</w:t>
            </w:r>
          </w:p>
        </w:tc>
      </w:tr>
      <w:tr w:rsidR="000816CE">
        <w:tc>
          <w:tcPr>
            <w:tcW w:w="8826" w:type="dxa"/>
          </w:tcPr>
          <w:p w:rsidR="000816CE" w:rsidRDefault="00FC7BEB" w:rsidP="006C0D30">
            <w:pPr>
              <w:snapToGrid/>
              <w:ind w:firstLine="640"/>
              <w:rPr>
                <w:rFonts w:ascii="仿宋" w:hAnsi="仿宋"/>
                <w:b/>
                <w:bCs/>
              </w:rPr>
            </w:pPr>
            <w:r>
              <w:rPr>
                <w:rFonts w:ascii="仿宋" w:hAnsi="仿宋" w:hint="eastAsia"/>
                <w:b/>
                <w:bCs/>
              </w:rPr>
              <w:t>——滨海文化景观带建设工程</w:t>
            </w:r>
          </w:p>
          <w:p w:rsidR="000816CE" w:rsidRDefault="00FC7BEB">
            <w:pPr>
              <w:ind w:firstLine="640"/>
              <w:rPr>
                <w:rFonts w:ascii="仿宋" w:hAnsi="仿宋" w:cstheme="minorBidi"/>
              </w:rPr>
            </w:pPr>
            <w:r>
              <w:rPr>
                <w:rFonts w:ascii="仿宋" w:hAnsi="仿宋" w:cstheme="minorBidi" w:hint="eastAsia"/>
              </w:rPr>
              <w:t>围绕湄洲岛及平海湾片区开展滨海文化景观带重点建设工程。以湄洲岛为核心汇聚滨海旅游资源，修建海底隧道、开通多条航线，增强与周边区、县、岛屿联动，打造更具规模</w:t>
            </w:r>
            <w:r>
              <w:rPr>
                <w:rFonts w:ascii="仿宋" w:hAnsi="仿宋" w:cstheme="minorBidi" w:hint="eastAsia"/>
              </w:rPr>
              <w:t>的滨海文化景观带。发挥滨海景观及渔业优势，孵化一批特色小镇和渔港风情小镇，推动篝火晚会、邮轮游艇、海上运动、休闲渔村、无居民海岛开发等海洋旅游项目，打造多样化、多主题的滨海旅游精品线路，形成文化气息浓厚、体验丰富的滨海生态旅游带。</w:t>
            </w:r>
          </w:p>
          <w:p w:rsidR="000816CE" w:rsidRDefault="00FC7BEB" w:rsidP="006C0D30">
            <w:pPr>
              <w:ind w:firstLine="640"/>
              <w:rPr>
                <w:rFonts w:ascii="仿宋" w:hAnsi="仿宋"/>
                <w:b/>
                <w:bCs/>
              </w:rPr>
            </w:pPr>
            <w:r>
              <w:rPr>
                <w:rFonts w:ascii="仿宋" w:hAnsi="仿宋" w:hint="eastAsia"/>
                <w:b/>
                <w:bCs/>
              </w:rPr>
              <w:t>——山脉生态景观带建设工程</w:t>
            </w:r>
          </w:p>
          <w:p w:rsidR="000816CE" w:rsidRDefault="00FC7BEB">
            <w:pPr>
              <w:ind w:firstLine="640"/>
              <w:rPr>
                <w:rFonts w:ascii="仿宋" w:hAnsi="仿宋"/>
              </w:rPr>
            </w:pPr>
            <w:r>
              <w:rPr>
                <w:rFonts w:ascii="仿宋" w:hAnsi="仿宋" w:hint="eastAsia"/>
              </w:rPr>
              <w:t>以莆田西北部山脉（仙游、涵江）为重点，进一步完善“五山”交通等基础配套，</w:t>
            </w:r>
            <w:r>
              <w:rPr>
                <w:rFonts w:ascii="仿宋" w:hAnsi="仿宋" w:cstheme="minorBidi" w:hint="eastAsia"/>
              </w:rPr>
              <w:t>开展山脉景点、森林公园、景观廊道建设</w:t>
            </w:r>
            <w:r>
              <w:rPr>
                <w:rFonts w:ascii="仿宋" w:hAnsi="仿宋" w:cstheme="minorBidi" w:hint="eastAsia"/>
              </w:rPr>
              <w:lastRenderedPageBreak/>
              <w:t>工作</w:t>
            </w:r>
            <w:r>
              <w:rPr>
                <w:rFonts w:ascii="仿宋" w:hAnsi="仿宋" w:hint="eastAsia"/>
                <w:sz w:val="36"/>
                <w:szCs w:val="36"/>
              </w:rPr>
              <w:t>。</w:t>
            </w:r>
            <w:r>
              <w:rPr>
                <w:rFonts w:ascii="仿宋" w:hAnsi="仿宋" w:hint="eastAsia"/>
              </w:rPr>
              <w:t>以九鲤湖为核心，整合莆田特色山脉旅游资源，联动九龙谷、麦斜岩、菜溪岩、仙水洋在内的山水祈梦生态休闲旅游产品，形成集休闲农业、森林露营与胜迹</w:t>
            </w:r>
            <w:r>
              <w:rPr>
                <w:rFonts w:ascii="仿宋" w:hAnsi="仿宋" w:hint="eastAsia"/>
              </w:rPr>
              <w:t>祈梦于一体的山脉旅游集聚区。</w:t>
            </w:r>
          </w:p>
          <w:p w:rsidR="000816CE" w:rsidRDefault="00FC7BEB" w:rsidP="006C0D30">
            <w:pPr>
              <w:ind w:firstLine="640"/>
              <w:rPr>
                <w:rFonts w:ascii="仿宋" w:hAnsi="仿宋"/>
                <w:b/>
                <w:bCs/>
              </w:rPr>
            </w:pPr>
            <w:r>
              <w:rPr>
                <w:rFonts w:ascii="仿宋" w:hAnsi="仿宋" w:hint="eastAsia"/>
                <w:b/>
                <w:bCs/>
              </w:rPr>
              <w:t>——沿溪生态景观带建设工程</w:t>
            </w:r>
          </w:p>
          <w:p w:rsidR="000816CE" w:rsidRDefault="00FC7BEB">
            <w:pPr>
              <w:ind w:firstLine="640"/>
              <w:rPr>
                <w:rFonts w:ascii="仿宋" w:hAnsi="仿宋"/>
              </w:rPr>
            </w:pPr>
            <w:r>
              <w:rPr>
                <w:rFonts w:ascii="仿宋" w:hAnsi="仿宋" w:hint="eastAsia"/>
              </w:rPr>
              <w:t>围绕木兰溪、木兰大道进行周边沿溪度假小镇和传统风貌小镇建设，恢复木兰溪的自然生态，梳理沿溪人文风貌，打造木兰陂公园、城厢区樟林片区至仙游县“一溪两岸”一线式沿溪景观带，形成集绿色观光、健康养生和休闲体育于一体的莆田特色沿溪生态景观廊道。</w:t>
            </w:r>
          </w:p>
          <w:p w:rsidR="000816CE" w:rsidRDefault="00FC7BEB" w:rsidP="006C0D30">
            <w:pPr>
              <w:ind w:firstLine="640"/>
              <w:rPr>
                <w:rFonts w:ascii="仿宋" w:hAnsi="仿宋"/>
                <w:b/>
                <w:bCs/>
              </w:rPr>
            </w:pPr>
            <w:r>
              <w:rPr>
                <w:rFonts w:ascii="仿宋" w:hAnsi="仿宋" w:hint="eastAsia"/>
                <w:b/>
                <w:bCs/>
              </w:rPr>
              <w:t>——历史文化景观带建设工程</w:t>
            </w:r>
          </w:p>
          <w:p w:rsidR="000816CE" w:rsidRDefault="00FC7BEB">
            <w:pPr>
              <w:ind w:firstLine="640"/>
              <w:rPr>
                <w:rFonts w:ascii="仿宋" w:hAnsi="仿宋"/>
              </w:rPr>
            </w:pPr>
            <w:r>
              <w:rPr>
                <w:rFonts w:ascii="仿宋" w:hAnsi="仿宋" w:hint="eastAsia"/>
              </w:rPr>
              <w:t>遵循科学规划、适度开发、严格保护原则，重点推进兴化府历史文化街区及萝苜田历史文化街区的原貌翻新改造，延续传统格局和历史风貌，维护历史文化街区真实性和完整性。围绕文化街区周边因地制宜形成“吃、购、游、乐、娱”一应俱全的生活集聚区，设置夜市工程，推动夜间经济发展，打造集旅</w:t>
            </w:r>
            <w:r>
              <w:rPr>
                <w:rFonts w:ascii="仿宋" w:hAnsi="仿宋" w:hint="eastAsia"/>
              </w:rPr>
              <w:lastRenderedPageBreak/>
              <w:t>游接待、购物休闲、商务会议、文化博览等功能于一体的历史文化景观带。</w:t>
            </w:r>
          </w:p>
          <w:p w:rsidR="000816CE" w:rsidRDefault="00FC7BEB">
            <w:pPr>
              <w:ind w:firstLine="643"/>
            </w:pPr>
            <w:r>
              <w:rPr>
                <w:rFonts w:eastAsia="仿宋_GB2312" w:hint="eastAsia"/>
                <w:b/>
                <w:bCs/>
                <w:color w:val="000000"/>
              </w:rPr>
              <w:t>重点项目：</w:t>
            </w:r>
            <w:r>
              <w:rPr>
                <w:rFonts w:ascii="仿宋" w:hAnsi="仿宋" w:hint="eastAsia"/>
                <w:color w:val="000000"/>
              </w:rPr>
              <w:t>仙游县旅游集散中心项目、南溪温泉旅游开发项目、莆田九鲤湖创国家</w:t>
            </w:r>
            <w:r>
              <w:rPr>
                <w:rFonts w:ascii="仿宋" w:hAnsi="仿宋" w:hint="eastAsia"/>
                <w:color w:val="000000"/>
              </w:rPr>
              <w:t>5A</w:t>
            </w:r>
            <w:r>
              <w:rPr>
                <w:rFonts w:ascii="仿宋" w:hAnsi="仿宋" w:hint="eastAsia"/>
                <w:color w:val="000000"/>
              </w:rPr>
              <w:t>级旅游景区</w:t>
            </w:r>
            <w:r>
              <w:rPr>
                <w:color w:val="000000"/>
              </w:rPr>
              <w:t>和菜溪岩创</w:t>
            </w:r>
            <w:r>
              <w:rPr>
                <w:rFonts w:hint="eastAsia"/>
                <w:color w:val="000000"/>
              </w:rPr>
              <w:t>国家</w:t>
            </w:r>
            <w:r>
              <w:rPr>
                <w:rFonts w:hint="eastAsia"/>
                <w:color w:val="000000"/>
              </w:rPr>
              <w:t>4A</w:t>
            </w:r>
            <w:r>
              <w:rPr>
                <w:rFonts w:hint="eastAsia"/>
                <w:color w:val="000000"/>
              </w:rPr>
              <w:t>级旅游景区</w:t>
            </w:r>
            <w:r>
              <w:rPr>
                <w:color w:val="000000"/>
              </w:rPr>
              <w:t>项目</w:t>
            </w:r>
            <w:r>
              <w:rPr>
                <w:rFonts w:hint="eastAsia"/>
                <w:color w:val="000000"/>
              </w:rPr>
              <w:t>、游洋镇兴山村特色文化休闲旅游项目、菜溪岩研学度假旅游区项</w:t>
            </w:r>
            <w:r>
              <w:rPr>
                <w:rFonts w:hint="eastAsia"/>
                <w:color w:val="000000"/>
              </w:rPr>
              <w:t>目、鲤城街道红木整装定制体验民宿项目、菜溪村园宅生态休闲综合体、南少林生态旅游</w:t>
            </w:r>
            <w:r>
              <w:rPr>
                <w:color w:val="000000"/>
              </w:rPr>
              <w:t>4A</w:t>
            </w:r>
            <w:r>
              <w:rPr>
                <w:color w:val="000000"/>
              </w:rPr>
              <w:t>景区项目</w:t>
            </w:r>
            <w:r>
              <w:rPr>
                <w:rFonts w:hint="eastAsia"/>
                <w:color w:val="000000"/>
              </w:rPr>
              <w:t>、莆田五侯秋望文化园、莆田市秀屿区休闲体育公园、后海垦区省</w:t>
            </w:r>
            <w:r>
              <w:rPr>
                <w:rFonts w:ascii="仿宋" w:hAnsi="仿宋" w:hint="eastAsia"/>
                <w:color w:val="000000"/>
              </w:rPr>
              <w:t>级现代渔业产业园白面屿度假区、妈祖文化特色小镇提升项目</w:t>
            </w:r>
            <w:r>
              <w:rPr>
                <w:rFonts w:eastAsia="仿宋_GB2312" w:hint="eastAsia"/>
                <w:color w:val="000000"/>
                <w:sz w:val="36"/>
                <w:szCs w:val="36"/>
              </w:rPr>
              <w:t>。</w:t>
            </w:r>
          </w:p>
        </w:tc>
      </w:tr>
    </w:tbl>
    <w:p w:rsidR="000816CE" w:rsidRDefault="00FC7BEB" w:rsidP="006C0D30">
      <w:pPr>
        <w:pStyle w:val="2"/>
        <w:snapToGrid/>
        <w:spacing w:beforeLines="150" w:after="156"/>
        <w:ind w:firstLine="640"/>
        <w:rPr>
          <w:rFonts w:eastAsia="仿宋" w:hint="default"/>
        </w:rPr>
      </w:pPr>
      <w:bookmarkStart w:id="25" w:name="_Toc28899"/>
      <w:r>
        <w:lastRenderedPageBreak/>
        <w:t>（三）家政服务</w:t>
      </w:r>
      <w:bookmarkEnd w:id="25"/>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pPr>
      <w:r>
        <w:rPr>
          <w:rFonts w:hint="eastAsia"/>
        </w:rPr>
        <w:t>不断增强居民消费能力，进一步满足人民群众日益增长的家政服务多元化、个性化需求，引导和培育一批家政服务示范企业。到</w:t>
      </w:r>
      <w:r>
        <w:rPr>
          <w:rFonts w:hint="eastAsia"/>
        </w:rPr>
        <w:t>2025</w:t>
      </w:r>
      <w:r>
        <w:rPr>
          <w:rFonts w:hint="eastAsia"/>
        </w:rPr>
        <w:t>年，培育</w:t>
      </w:r>
      <w:r>
        <w:t>2-3</w:t>
      </w:r>
      <w:r>
        <w:rPr>
          <w:rFonts w:hint="eastAsia"/>
        </w:rPr>
        <w:t>家家政服务示范企业，形成家政服务业市级知名品牌。</w:t>
      </w:r>
    </w:p>
    <w:p w:rsidR="000816CE" w:rsidRDefault="00FC7BEB" w:rsidP="006C0D30">
      <w:pPr>
        <w:pStyle w:val="3"/>
        <w:spacing w:before="156" w:after="156"/>
        <w:ind w:firstLine="640"/>
        <w:rPr>
          <w:rFonts w:hint="default"/>
        </w:rPr>
      </w:pPr>
      <w:r>
        <w:lastRenderedPageBreak/>
        <w:t>2.</w:t>
      </w:r>
      <w:r>
        <w:t>主要任务</w:t>
      </w:r>
    </w:p>
    <w:p w:rsidR="000816CE" w:rsidRDefault="00FC7BEB">
      <w:pPr>
        <w:ind w:firstLine="640"/>
      </w:pPr>
      <w:r>
        <w:rPr>
          <w:rFonts w:hint="eastAsia"/>
        </w:rPr>
        <w:t>着力减小家政服务质量与居民美好生活需要之间的差距，建立家政服务诚信体系、健全家政服务人员培训体系、完善家政服务行业监管机制，进一步规范家政行业发展，引导更多家政企业向规范的员工制家政企业转型升级。</w:t>
      </w:r>
    </w:p>
    <w:p w:rsidR="000816CE" w:rsidRDefault="00FC7BEB" w:rsidP="006C0D30">
      <w:pPr>
        <w:ind w:firstLine="640"/>
      </w:pPr>
      <w:r>
        <w:rPr>
          <w:rFonts w:hint="eastAsia"/>
          <w:b/>
          <w:bCs/>
        </w:rPr>
        <w:t>着力发展员工制家政企业。</w:t>
      </w:r>
      <w:r>
        <w:rPr>
          <w:rFonts w:hint="eastAsia"/>
        </w:rPr>
        <w:t>积极推动家政服务企业从“中介制”向“员工制”转型升级，培育发展一批员工制家政服务企业。放宽员工制家政服务企业的认定标准，加大社保补贴力度和财税金融支持，深入落实企业稳岗返还和免费培训政策，积极引导员工制家政服务企业依法与员工签订劳动合同或服务协议。充分考虑用工方式，足额缴纳城镇职工社会保险</w:t>
      </w:r>
      <w:r>
        <w:rPr>
          <w:rFonts w:hint="eastAsia"/>
        </w:rPr>
        <w:t>或城乡居民社会保险，灵活确定服务人员工时。</w:t>
      </w:r>
    </w:p>
    <w:p w:rsidR="000816CE" w:rsidRDefault="00FC7BEB" w:rsidP="006C0D30">
      <w:pPr>
        <w:ind w:firstLine="640"/>
      </w:pPr>
      <w:r>
        <w:rPr>
          <w:rFonts w:hint="eastAsia"/>
          <w:b/>
          <w:bCs/>
        </w:rPr>
        <w:t>大力支持家政企业进社区。</w:t>
      </w:r>
      <w:r>
        <w:rPr>
          <w:rFonts w:hint="eastAsia"/>
        </w:rPr>
        <w:t>支持家政企业在社区设置服务网点，着力解决家政企业税费、水电、用房等问题，培育一批家政服务示范社区，发挥引领带动作用。支持各地依托社区居家养老服务中心、街坊（邻里）中心、物业（商业）中心等社区综合服</w:t>
      </w:r>
      <w:r>
        <w:rPr>
          <w:rFonts w:hint="eastAsia"/>
        </w:rPr>
        <w:lastRenderedPageBreak/>
        <w:t>务设施建设嵌入式家政服务网点，鼓励有条件的地区减免租赁费用。依托全国信用信息共享平台，引导和鼓励商业银行在市场化和商业自愿的前提下为信用状况良好且符合条件的家政企业提供无抵押、无担保的信用贷款。</w:t>
      </w:r>
    </w:p>
    <w:p w:rsidR="000816CE" w:rsidRDefault="00FC7BEB" w:rsidP="006C0D30">
      <w:pPr>
        <w:ind w:firstLine="640"/>
      </w:pPr>
      <w:r>
        <w:rPr>
          <w:rFonts w:hint="eastAsia"/>
          <w:b/>
          <w:bCs/>
        </w:rPr>
        <w:t>加快完善家政行业标准体系</w:t>
      </w:r>
      <w:r>
        <w:rPr>
          <w:rFonts w:hint="eastAsia"/>
        </w:rPr>
        <w:t>。健全完善家政服务标准体系，</w:t>
      </w:r>
      <w:r>
        <w:rPr>
          <w:rFonts w:hint="eastAsia"/>
        </w:rPr>
        <w:t>强化家政服务标准实施与监督，提升家政行业服务质量和水平。组织开展家政服务标准立项研究，加快制定家政行业标准规范，开展家政服务标准化试点专项行动。充分运用新一代信息技术，搭建或完善家政服务信息管理类平台，对家政服务企业、从业人员在身份验证、健康体检、社会评价、失信行为、道德品行等方面实行规范化管理。</w:t>
      </w:r>
    </w:p>
    <w:tbl>
      <w:tblPr>
        <w:tblStyle w:val="ac"/>
        <w:tblW w:w="9140" w:type="dxa"/>
        <w:tblLayout w:type="fixed"/>
        <w:tblLook w:val="04A0"/>
      </w:tblPr>
      <w:tblGrid>
        <w:gridCol w:w="9140"/>
      </w:tblGrid>
      <w:tr w:rsidR="000816CE">
        <w:tc>
          <w:tcPr>
            <w:tcW w:w="9140" w:type="dxa"/>
            <w:shd w:val="clear" w:color="auto" w:fill="DAEEF3"/>
          </w:tcPr>
          <w:p w:rsidR="000816CE" w:rsidRDefault="00FC7BEB">
            <w:pPr>
              <w:pStyle w:val="a6"/>
              <w:snapToGrid/>
            </w:pPr>
            <w:r>
              <w:rPr>
                <w:rFonts w:hint="eastAsia"/>
              </w:rPr>
              <w:t>专栏</w:t>
            </w:r>
            <w:r>
              <w:rPr>
                <w:rFonts w:hint="eastAsia"/>
              </w:rPr>
              <w:t xml:space="preserve">8  </w:t>
            </w:r>
            <w:r>
              <w:rPr>
                <w:rFonts w:hint="eastAsia"/>
              </w:rPr>
              <w:t>家政服务提质扩容工程</w:t>
            </w:r>
          </w:p>
        </w:tc>
      </w:tr>
      <w:tr w:rsidR="000816CE">
        <w:tc>
          <w:tcPr>
            <w:tcW w:w="9140" w:type="dxa"/>
          </w:tcPr>
          <w:p w:rsidR="000816CE" w:rsidRDefault="00FC7BEB" w:rsidP="006C0D30">
            <w:pPr>
              <w:snapToGrid/>
              <w:ind w:firstLine="640"/>
              <w:rPr>
                <w:b/>
                <w:bCs/>
              </w:rPr>
            </w:pPr>
            <w:r>
              <w:rPr>
                <w:b/>
                <w:bCs/>
              </w:rPr>
              <w:t>——</w:t>
            </w:r>
            <w:r>
              <w:rPr>
                <w:b/>
                <w:bCs/>
              </w:rPr>
              <w:t>家政从业人员素质提升工程</w:t>
            </w:r>
          </w:p>
          <w:p w:rsidR="000816CE" w:rsidRDefault="00FC7BEB">
            <w:pPr>
              <w:ind w:firstLine="640"/>
            </w:pPr>
            <w:r>
              <w:rPr>
                <w:rFonts w:hint="eastAsia"/>
              </w:rPr>
              <w:t>支持职业技术学校等院校增设一批家政服务相关专业，鼓励政企联合对家政服务从业人员开展职业技能培训，并引导社会资本发展家政服务的专业培训，打造培育产教融合型家政企业，多举措加强家政服务人才队伍建设，优化家政服务人才结构。</w:t>
            </w:r>
          </w:p>
          <w:p w:rsidR="000816CE" w:rsidRDefault="00FC7BEB" w:rsidP="006C0D30">
            <w:pPr>
              <w:ind w:firstLine="640"/>
            </w:pPr>
            <w:r>
              <w:rPr>
                <w:b/>
                <w:bCs/>
              </w:rPr>
              <w:lastRenderedPageBreak/>
              <w:t>——</w:t>
            </w:r>
            <w:r>
              <w:rPr>
                <w:rFonts w:hint="eastAsia"/>
                <w:b/>
                <w:bCs/>
              </w:rPr>
              <w:t>家政服务行业信用提升工程</w:t>
            </w:r>
          </w:p>
          <w:p w:rsidR="000816CE" w:rsidRDefault="00FC7BEB">
            <w:pPr>
              <w:ind w:firstLine="640"/>
            </w:pPr>
            <w:r>
              <w:rPr>
                <w:rFonts w:hint="eastAsia"/>
              </w:rPr>
              <w:t>推动相关部门归拢家政服务企业、从业人员、用户的基础信息和信用信息，推送至莆田市公共信用信息平台，依规向相关部门及家政服务企业充分共享金融、司法等可公开信用信息，探索建立家政从业人员个人信用记录注册、跟踪评价和管理制度。</w:t>
            </w:r>
          </w:p>
          <w:p w:rsidR="000816CE" w:rsidRDefault="00FC7BEB" w:rsidP="006C0D30">
            <w:pPr>
              <w:ind w:firstLine="640"/>
              <w:rPr>
                <w:b/>
                <w:bCs/>
              </w:rPr>
            </w:pPr>
            <w:r>
              <w:rPr>
                <w:b/>
                <w:bCs/>
              </w:rPr>
              <w:t>——</w:t>
            </w:r>
            <w:r>
              <w:rPr>
                <w:rFonts w:hint="eastAsia"/>
                <w:b/>
                <w:bCs/>
              </w:rPr>
              <w:t>家政服务规范化提升工程</w:t>
            </w:r>
          </w:p>
          <w:p w:rsidR="000816CE" w:rsidRDefault="00FC7BEB">
            <w:pPr>
              <w:ind w:firstLine="640"/>
            </w:pPr>
            <w:r>
              <w:rPr>
                <w:rFonts w:hint="eastAsia"/>
              </w:rPr>
              <w:t>依规提供家政服务</w:t>
            </w:r>
            <w:r>
              <w:rPr>
                <w:rFonts w:hint="eastAsia"/>
              </w:rPr>
              <w:t>企业和从业人员信用评估、信用报告等产品和服务，组织建立家政服务行业联合惩戒机制，对在家政服务过程中存在违法违规和严重失信行为的家政服务企业及从业人员实行联合惩戒。提高家政服务行业准入门槛，规范市场秩序；对现有企业强化监管，坚持守信激励与失信惩戒并举、行业自律与政府监管并重，建立长效机制。</w:t>
            </w:r>
          </w:p>
          <w:p w:rsidR="000816CE" w:rsidRDefault="00FC7BEB" w:rsidP="006C0D30">
            <w:pPr>
              <w:ind w:firstLine="640"/>
            </w:pPr>
            <w:r>
              <w:rPr>
                <w:rFonts w:hint="eastAsia"/>
                <w:b/>
                <w:bCs/>
              </w:rPr>
              <w:t>主要项目</w:t>
            </w:r>
            <w:r>
              <w:rPr>
                <w:rFonts w:hint="eastAsia"/>
              </w:rPr>
              <w:t>：莆田信用信息平台项目、莆田家政服务专业人才培训机构项目、莆田社区家政服务试点项目。</w:t>
            </w:r>
          </w:p>
        </w:tc>
      </w:tr>
    </w:tbl>
    <w:p w:rsidR="000816CE" w:rsidRDefault="00FC7BEB" w:rsidP="006C0D30">
      <w:pPr>
        <w:pStyle w:val="2"/>
        <w:snapToGrid/>
        <w:spacing w:beforeLines="150" w:after="156"/>
        <w:ind w:firstLine="640"/>
        <w:rPr>
          <w:rFonts w:eastAsia="仿宋" w:hint="default"/>
        </w:rPr>
      </w:pPr>
      <w:bookmarkStart w:id="26" w:name="_Toc14925"/>
      <w:r>
        <w:lastRenderedPageBreak/>
        <w:t>（四）健康服务业</w:t>
      </w:r>
      <w:bookmarkEnd w:id="26"/>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pPr>
      <w:r>
        <w:rPr>
          <w:rFonts w:hint="eastAsia"/>
          <w:szCs w:val="40"/>
        </w:rPr>
        <w:lastRenderedPageBreak/>
        <w:t>丰富健康养老服务供给，构建符合“三全”服务和个体化、定制化、多样化、多层次管理要求的</w:t>
      </w:r>
      <w:r>
        <w:rPr>
          <w:rFonts w:hint="eastAsia"/>
          <w:szCs w:val="40"/>
        </w:rPr>
        <w:t>莆田特色健康产业支撑体系。到</w:t>
      </w:r>
      <w:r>
        <w:rPr>
          <w:szCs w:val="40"/>
        </w:rPr>
        <w:t>2025</w:t>
      </w:r>
      <w:r>
        <w:rPr>
          <w:szCs w:val="40"/>
        </w:rPr>
        <w:t>年，健康产业总规模突破</w:t>
      </w:r>
      <w:r>
        <w:rPr>
          <w:color w:val="FF0000"/>
          <w:szCs w:val="40"/>
        </w:rPr>
        <w:t>1500</w:t>
      </w:r>
      <w:r>
        <w:rPr>
          <w:rFonts w:hint="eastAsia"/>
          <w:szCs w:val="40"/>
        </w:rPr>
        <w:t>亿元，</w:t>
      </w:r>
      <w:r>
        <w:rPr>
          <w:rFonts w:hint="eastAsia"/>
          <w:color w:val="000000"/>
        </w:rPr>
        <w:t>全国健康旅游示范基地初步建成，覆盖</w:t>
      </w:r>
      <w:r>
        <w:rPr>
          <w:rFonts w:ascii="仿宋" w:hAnsi="仿宋" w:cs="仿宋" w:hint="eastAsia"/>
          <w:color w:val="000000"/>
        </w:rPr>
        <w:t>“全人群、全生命周期、疾病全过程”</w:t>
      </w:r>
      <w:r>
        <w:rPr>
          <w:rFonts w:hint="eastAsia"/>
          <w:color w:val="000000"/>
        </w:rPr>
        <w:t>的</w:t>
      </w:r>
      <w:r>
        <w:rPr>
          <w:rFonts w:ascii="仿宋" w:hAnsi="仿宋" w:hint="eastAsia"/>
          <w:color w:val="000000"/>
        </w:rPr>
        <w:t>医疗健康服务体系和特色鲜明的健康产业新格局初步建立。</w:t>
      </w:r>
    </w:p>
    <w:p w:rsidR="000816CE" w:rsidRDefault="00FC7BEB" w:rsidP="006C0D30">
      <w:pPr>
        <w:pStyle w:val="3"/>
        <w:spacing w:before="156" w:after="156"/>
        <w:ind w:firstLine="640"/>
        <w:rPr>
          <w:rFonts w:hint="default"/>
        </w:rPr>
      </w:pPr>
      <w:r>
        <w:t>2.</w:t>
      </w:r>
      <w:r>
        <w:t>主要任务</w:t>
      </w:r>
    </w:p>
    <w:p w:rsidR="000816CE" w:rsidRDefault="00FC7BEB">
      <w:pPr>
        <w:ind w:firstLine="640"/>
      </w:pPr>
      <w:r>
        <w:rPr>
          <w:szCs w:val="40"/>
        </w:rPr>
        <w:t>深入实施</w:t>
      </w:r>
      <w:r>
        <w:rPr>
          <w:rFonts w:ascii="仿宋" w:hAnsi="仿宋" w:cs="仿宋"/>
          <w:szCs w:val="40"/>
        </w:rPr>
        <w:t>“</w:t>
      </w:r>
      <w:r>
        <w:rPr>
          <w:szCs w:val="40"/>
        </w:rPr>
        <w:t>健康莆田</w:t>
      </w:r>
      <w:r>
        <w:rPr>
          <w:szCs w:val="40"/>
        </w:rPr>
        <w:t>2030</w:t>
      </w:r>
      <w:r>
        <w:rPr>
          <w:szCs w:val="40"/>
        </w:rPr>
        <w:t>行动计划</w:t>
      </w:r>
      <w:r>
        <w:rPr>
          <w:rFonts w:ascii="仿宋" w:hAnsi="仿宋" w:cs="仿宋"/>
          <w:szCs w:val="40"/>
        </w:rPr>
        <w:t>”</w:t>
      </w:r>
      <w:r>
        <w:rPr>
          <w:szCs w:val="40"/>
        </w:rPr>
        <w:t>，</w:t>
      </w:r>
      <w:r>
        <w:rPr>
          <w:rFonts w:hint="eastAsia"/>
        </w:rPr>
        <w:t>持续提升居民主要健康指标，争创全国健康城市建设试点城市。深入推进医疗、医保、医药“三医”联动改革，满足居民多层次、多元化的健康需求。</w:t>
      </w:r>
    </w:p>
    <w:p w:rsidR="000816CE" w:rsidRDefault="00FC7BEB" w:rsidP="006C0D30">
      <w:pPr>
        <w:ind w:firstLine="640"/>
        <w:rPr>
          <w:rFonts w:ascii="仿宋" w:hAnsi="仿宋" w:cs="仿宋"/>
          <w:szCs w:val="40"/>
        </w:rPr>
      </w:pPr>
      <w:r>
        <w:rPr>
          <w:rFonts w:hint="eastAsia"/>
          <w:b/>
          <w:bCs/>
        </w:rPr>
        <w:t>全面提升居民健康素养水平。</w:t>
      </w:r>
      <w:r>
        <w:rPr>
          <w:rFonts w:ascii="仿宋" w:hAnsi="仿宋" w:cs="仿宋" w:hint="eastAsia"/>
          <w:szCs w:val="40"/>
        </w:rPr>
        <w:t>强化健康促进与教育工作，倡导科学的健康理念，结合卫生日在全市城镇、农村全面开展健康讲座、健康咨询等活动，并通过文艺汇演、发放健康宣传册等形式引导居民树立健康生活方式。根据健康福建行动方案，推进健康促进县（区）、健康促进医院创建活动。广泛开展全民健身运动会等群众性体育活动，推动形成健康的生活方式和行为。鼓励中医药养生保健、健康咨询、健康文化、健康旅游等多样化健康</w:t>
      </w:r>
      <w:r>
        <w:rPr>
          <w:rFonts w:ascii="仿宋" w:hAnsi="仿宋" w:cs="仿宋" w:hint="eastAsia"/>
          <w:szCs w:val="40"/>
        </w:rPr>
        <w:lastRenderedPageBreak/>
        <w:t>服务发展。</w:t>
      </w:r>
    </w:p>
    <w:p w:rsidR="000816CE" w:rsidRDefault="00FC7BEB" w:rsidP="006C0D30">
      <w:pPr>
        <w:ind w:firstLine="640"/>
        <w:rPr>
          <w:rFonts w:ascii="仿宋" w:hAnsi="仿宋" w:cs="仿宋"/>
          <w:szCs w:val="40"/>
        </w:rPr>
      </w:pPr>
      <w:r>
        <w:rPr>
          <w:rFonts w:ascii="仿宋" w:hAnsi="仿宋" w:cs="仿宋" w:hint="eastAsia"/>
          <w:b/>
          <w:bCs/>
          <w:szCs w:val="40"/>
        </w:rPr>
        <w:t>打造高端化健康服务集聚区。</w:t>
      </w:r>
      <w:r>
        <w:rPr>
          <w:rFonts w:ascii="仿宋" w:hAnsi="仿宋" w:cs="仿宋" w:hint="eastAsia"/>
          <w:szCs w:val="40"/>
        </w:rPr>
        <w:t>鼓励各县（区）整合资源，建设集医疗康复、保健养生、健康信息服务、健康产品研发于一体的高端健康服务集聚区。鼓励医疗</w:t>
      </w:r>
      <w:r>
        <w:rPr>
          <w:rFonts w:ascii="仿宋" w:hAnsi="仿宋" w:cs="仿宋" w:hint="eastAsia"/>
          <w:szCs w:val="40"/>
        </w:rPr>
        <w:t>机构应用互联网等信息技术拓展医疗服务空间和内容，发展互联网医院，开展远程医疗、健康咨询、健康管理服务。</w:t>
      </w:r>
      <w:r>
        <w:rPr>
          <w:rFonts w:ascii="仿宋_GB2312" w:eastAsia="仿宋_GB2312" w:hAnsi="仿宋_GB2312" w:cs="仿宋_GB2312" w:hint="eastAsia"/>
          <w:color w:val="000000"/>
        </w:rPr>
        <w:t>加强紧缺人才引进、培育工作，全力引进特色专科、科研项目、技术创新等领域急需的高级专业技术人才，打造高端人才集聚区。</w:t>
      </w:r>
    </w:p>
    <w:p w:rsidR="000816CE" w:rsidRDefault="00FC7BEB" w:rsidP="006C0D30">
      <w:pPr>
        <w:ind w:firstLine="640"/>
      </w:pPr>
      <w:r>
        <w:rPr>
          <w:rFonts w:hint="eastAsia"/>
          <w:b/>
          <w:bCs/>
        </w:rPr>
        <w:t>持续深化医疗卫生体制改革。</w:t>
      </w:r>
      <w:r>
        <w:rPr>
          <w:rFonts w:hint="eastAsia"/>
        </w:rPr>
        <w:t>以医药为切入口、医保为引擎、医疗机构为载体，坚持改革的整体联动，完善医改的经济政策，健全医院内部激励和约束机制，深化“三医联动”改革，逐步向“全联深动”迈进。健全完善分级诊疗制度，落实医院层级功能，切实发挥县区医院在医疗服务供给和分级治疗中的基础地位和作用。</w:t>
      </w:r>
      <w:r>
        <w:rPr>
          <w:rFonts w:ascii="仿宋_GB2312" w:eastAsia="仿宋_GB2312" w:hAnsi="仿宋_GB2312" w:cs="仿宋_GB2312" w:hint="eastAsia"/>
        </w:rPr>
        <w:t>大力推进医</w:t>
      </w:r>
      <w:r>
        <w:rPr>
          <w:rFonts w:ascii="仿宋_GB2312" w:eastAsia="仿宋_GB2312" w:hAnsi="仿宋_GB2312" w:cs="仿宋_GB2312" w:hint="eastAsia"/>
        </w:rPr>
        <w:t>疗联合体建设，全市推广联合病房模式，</w:t>
      </w:r>
      <w:r>
        <w:rPr>
          <w:rFonts w:ascii="仿宋_GB2312" w:eastAsia="仿宋_GB2312" w:hint="eastAsia"/>
        </w:rPr>
        <w:t>完善上下联动、双向转诊、急慢分治分工协作机制。</w:t>
      </w:r>
      <w:r>
        <w:rPr>
          <w:rFonts w:ascii="仿宋_GB2312" w:eastAsia="仿宋_GB2312" w:hAnsi="仿宋_GB2312" w:cs="仿宋_GB2312" w:hint="eastAsia"/>
        </w:rPr>
        <w:t>落实完善家庭医生签约服务制度，做细重点人群签约服务，提高重点人群履约质量，发挥家庭医生在分级诊疗中双向转诊的作用。</w:t>
      </w:r>
    </w:p>
    <w:p w:rsidR="000816CE" w:rsidRDefault="00FC7BEB" w:rsidP="006C0D30">
      <w:pPr>
        <w:ind w:firstLine="640"/>
        <w:rPr>
          <w:b/>
          <w:bCs/>
        </w:rPr>
      </w:pPr>
      <w:r>
        <w:rPr>
          <w:rFonts w:hint="eastAsia"/>
          <w:b/>
          <w:bCs/>
        </w:rPr>
        <w:t>助力民营医院健康规范发展。</w:t>
      </w:r>
      <w:r>
        <w:rPr>
          <w:rFonts w:hint="eastAsia"/>
        </w:rPr>
        <w:t>支持</w:t>
      </w:r>
      <w:r>
        <w:rPr>
          <w:rFonts w:eastAsia="仿宋_GB2312"/>
        </w:rPr>
        <w:t>公立医院与民营医院合作</w:t>
      </w:r>
      <w:r>
        <w:rPr>
          <w:rFonts w:eastAsia="仿宋_GB2312"/>
        </w:rPr>
        <w:lastRenderedPageBreak/>
        <w:t>办医</w:t>
      </w:r>
      <w:r>
        <w:rPr>
          <w:rFonts w:eastAsia="仿宋_GB2312" w:hint="eastAsia"/>
        </w:rPr>
        <w:t>，鼓励</w:t>
      </w:r>
      <w:r>
        <w:rPr>
          <w:rFonts w:hint="eastAsia"/>
        </w:rPr>
        <w:t>社会力量作为医疗服务资源的补充，满足群众多元医疗健康需求，建立规范有序、多元发展的社会办医体系。将社会办医统一纳入医疗服务和医疗质量管理控制及评价体系，加强综合监督管理，促进社会办医持续健康规范发展。引导民营医疗机构通过资源整合、连锁经营、托管共建等方</w:t>
      </w:r>
      <w:r>
        <w:rPr>
          <w:rFonts w:hint="eastAsia"/>
        </w:rPr>
        <w:t>式向“专、精、优”方向发展。</w:t>
      </w:r>
    </w:p>
    <w:p w:rsidR="000816CE" w:rsidRDefault="00FC7BEB" w:rsidP="006C0D30">
      <w:pPr>
        <w:ind w:firstLine="640"/>
      </w:pPr>
      <w:r>
        <w:rPr>
          <w:rFonts w:hint="eastAsia"/>
          <w:b/>
          <w:bCs/>
        </w:rPr>
        <w:t>促进康养、医养多业态融合发展</w:t>
      </w:r>
      <w:r>
        <w:rPr>
          <w:rFonts w:hint="eastAsia"/>
        </w:rPr>
        <w:t>。依托莆田特有的妈祖文化优势、千年名刹广化寺和南少林寺的禅武医文化和历史，以及仙游县、涵江区、荔城区中药材独特优势，打造具有莆田特色的康养、医养结合的中草药养生产业新模式。推动“长者之家”等养老服务机构建设，以“</w:t>
      </w:r>
      <w:r>
        <w:rPr>
          <w:rFonts w:hint="eastAsia"/>
        </w:rPr>
        <w:t>1+5+X</w:t>
      </w:r>
      <w:r>
        <w:rPr>
          <w:rFonts w:hint="eastAsia"/>
        </w:rPr>
        <w:t>”邻里中心建设为抓手，通过政策扶持、社会运营、市场运作，</w:t>
      </w:r>
      <w:r>
        <w:rPr>
          <w:rFonts w:ascii="仿宋" w:hAnsi="仿宋" w:cs="仿宋" w:hint="eastAsia"/>
          <w:szCs w:val="40"/>
        </w:rPr>
        <w:t>完善居家社区机构相协调、医养康养相结合的养老服务体系。</w:t>
      </w:r>
      <w:r>
        <w:rPr>
          <w:rFonts w:hint="eastAsia"/>
        </w:rPr>
        <w:t>整合健康体检、健康咨询、家政预约、医疗护理、康复护理等服务资源，逐步形成功能合理、制度完善的居家养老服务网络。</w:t>
      </w:r>
    </w:p>
    <w:tbl>
      <w:tblPr>
        <w:tblStyle w:val="ac"/>
        <w:tblW w:w="9140" w:type="dxa"/>
        <w:tblLayout w:type="fixed"/>
        <w:tblLook w:val="04A0"/>
      </w:tblPr>
      <w:tblGrid>
        <w:gridCol w:w="9140"/>
      </w:tblGrid>
      <w:tr w:rsidR="000816CE">
        <w:tc>
          <w:tcPr>
            <w:tcW w:w="9140" w:type="dxa"/>
            <w:shd w:val="clear" w:color="auto" w:fill="DAEEF3"/>
          </w:tcPr>
          <w:p w:rsidR="000816CE" w:rsidRDefault="00FC7BEB">
            <w:pPr>
              <w:pStyle w:val="a6"/>
              <w:snapToGrid/>
            </w:pPr>
            <w:r>
              <w:rPr>
                <w:rFonts w:hint="eastAsia"/>
              </w:rPr>
              <w:t>专栏</w:t>
            </w:r>
            <w:r>
              <w:rPr>
                <w:rFonts w:hint="eastAsia"/>
              </w:rPr>
              <w:t xml:space="preserve">9  </w:t>
            </w:r>
            <w:r>
              <w:rPr>
                <w:rFonts w:hint="eastAsia"/>
              </w:rPr>
              <w:t>健康养老服务多元化工程</w:t>
            </w:r>
          </w:p>
        </w:tc>
      </w:tr>
      <w:tr w:rsidR="000816CE">
        <w:tc>
          <w:tcPr>
            <w:tcW w:w="9140" w:type="dxa"/>
          </w:tcPr>
          <w:p w:rsidR="000816CE" w:rsidRDefault="00FC7BEB" w:rsidP="006C0D30">
            <w:pPr>
              <w:widowControl/>
              <w:numPr>
                <w:ilvl w:val="255"/>
                <w:numId w:val="0"/>
              </w:numPr>
              <w:adjustRightInd/>
              <w:snapToGrid/>
              <w:spacing w:line="240" w:lineRule="auto"/>
              <w:ind w:firstLineChars="200" w:firstLine="640"/>
              <w:rPr>
                <w:b/>
                <w:bCs/>
              </w:rPr>
            </w:pPr>
            <w:r>
              <w:rPr>
                <w:rFonts w:hint="eastAsia"/>
                <w:b/>
                <w:bCs/>
              </w:rPr>
              <w:t>——高端健康医疗服务集聚工程</w:t>
            </w:r>
          </w:p>
          <w:p w:rsidR="000816CE" w:rsidRDefault="00FC7BEB">
            <w:pPr>
              <w:widowControl/>
              <w:numPr>
                <w:ilvl w:val="255"/>
                <w:numId w:val="0"/>
              </w:numPr>
              <w:adjustRightInd/>
              <w:snapToGrid/>
              <w:spacing w:line="240" w:lineRule="auto"/>
              <w:ind w:firstLineChars="200" w:firstLine="640"/>
              <w:rPr>
                <w:rFonts w:ascii="仿宋" w:hAnsi="仿宋"/>
                <w:color w:val="000000"/>
              </w:rPr>
            </w:pPr>
            <w:r>
              <w:rPr>
                <w:rFonts w:ascii="仿宋" w:hAnsi="仿宋" w:hint="eastAsia"/>
                <w:color w:val="000000"/>
                <w:kern w:val="0"/>
              </w:rPr>
              <w:lastRenderedPageBreak/>
              <w:t>创建两区、一基地、一城、六园，以北岸妈祖健康城和秀屿（福建）健康产业园区为核心，覆盖莆田全域的发展新格局。重点围绕“海峡两岸生技和医疗健康产业合作区”构建大健康产业链条，发展特色专科医院、创新孵化中心、药械研发基地，形成产业集聚、特色鲜明、布局合理的大健康产业体系。加快国际医疗健康旅游人才教育培训平台、</w:t>
            </w:r>
            <w:r>
              <w:rPr>
                <w:rFonts w:ascii="仿宋" w:hAnsi="仿宋" w:hint="eastAsia"/>
                <w:color w:val="000000"/>
              </w:rPr>
              <w:t>空地立体院前医疗急救服务平台、</w:t>
            </w:r>
            <w:r>
              <w:rPr>
                <w:rFonts w:ascii="仿宋" w:hAnsi="仿宋" w:hint="eastAsia"/>
                <w:color w:val="000000"/>
                <w:kern w:val="0"/>
              </w:rPr>
              <w:t>第三方健康医疗服务平台等项目建设。</w:t>
            </w:r>
          </w:p>
          <w:p w:rsidR="000816CE" w:rsidRDefault="00FC7BEB" w:rsidP="006C0D30">
            <w:pPr>
              <w:widowControl/>
              <w:numPr>
                <w:ilvl w:val="255"/>
                <w:numId w:val="0"/>
              </w:numPr>
              <w:adjustRightInd/>
              <w:snapToGrid/>
              <w:spacing w:line="240" w:lineRule="auto"/>
              <w:ind w:firstLineChars="200" w:firstLine="640"/>
              <w:rPr>
                <w:rFonts w:ascii="仿宋" w:hAnsi="仿宋"/>
                <w:b/>
                <w:bCs/>
                <w:color w:val="000000"/>
                <w:kern w:val="0"/>
              </w:rPr>
            </w:pPr>
            <w:r>
              <w:rPr>
                <w:rFonts w:ascii="仿宋" w:hAnsi="仿宋" w:hint="eastAsia"/>
                <w:b/>
                <w:bCs/>
                <w:color w:val="000000"/>
                <w:kern w:val="0"/>
              </w:rPr>
              <w:t>——康养产业园优质发展工程</w:t>
            </w:r>
          </w:p>
          <w:p w:rsidR="000816CE" w:rsidRDefault="00FC7BEB">
            <w:pPr>
              <w:widowControl/>
              <w:numPr>
                <w:ilvl w:val="255"/>
                <w:numId w:val="0"/>
              </w:numPr>
              <w:adjustRightInd/>
              <w:snapToGrid/>
              <w:spacing w:line="240" w:lineRule="auto"/>
              <w:ind w:firstLineChars="200" w:firstLine="640"/>
              <w:rPr>
                <w:rFonts w:ascii="仿宋" w:hAnsi="仿宋"/>
                <w:color w:val="000000"/>
              </w:rPr>
            </w:pPr>
            <w:r>
              <w:rPr>
                <w:rFonts w:ascii="仿宋" w:hAnsi="仿宋" w:hint="eastAsia"/>
                <w:color w:val="000000"/>
              </w:rPr>
              <w:t>结合莆田当地中药材资源独特优势，</w:t>
            </w:r>
            <w:r>
              <w:rPr>
                <w:rFonts w:ascii="仿宋" w:hAnsi="仿宋" w:cs="仿宋" w:hint="eastAsia"/>
                <w:szCs w:val="40"/>
              </w:rPr>
              <w:t>依托莆田市妈祖健康文化、千年名刹广化寺和南少林寺的禅武医文化，</w:t>
            </w:r>
            <w:r>
              <w:rPr>
                <w:rFonts w:ascii="仿宋" w:hAnsi="仿宋" w:cs="黑体" w:hint="eastAsia"/>
                <w:color w:val="000000"/>
              </w:rPr>
              <w:t>打造绿色生态健康产业园区，</w:t>
            </w:r>
            <w:r>
              <w:rPr>
                <w:rFonts w:ascii="仿宋" w:hAnsi="仿宋" w:hint="eastAsia"/>
                <w:color w:val="000000"/>
              </w:rPr>
              <w:t>发展与医疗产业配套的养老、养生、休闲、会展、旅游等文化和生态康养产业园，持续推进</w:t>
            </w:r>
            <w:r>
              <w:rPr>
                <w:rFonts w:ascii="仿宋" w:hAnsi="仿宋" w:hint="eastAsia"/>
                <w:color w:val="000000"/>
              </w:rPr>
              <w:t>6</w:t>
            </w:r>
            <w:r>
              <w:rPr>
                <w:rFonts w:ascii="仿宋" w:hAnsi="仿宋" w:hint="eastAsia"/>
                <w:color w:val="000000"/>
              </w:rPr>
              <w:t>个医疗健康产业园项目建设，着力发展全国民营医院总部基地、药械仓储物流基地、药械研发生产基地以及土海康养特色小镇，争取到</w:t>
            </w:r>
            <w:r>
              <w:rPr>
                <w:rFonts w:ascii="仿宋" w:hAnsi="仿宋" w:hint="eastAsia"/>
                <w:color w:val="000000"/>
              </w:rPr>
              <w:t>2025</w:t>
            </w:r>
            <w:r>
              <w:rPr>
                <w:rFonts w:ascii="仿宋" w:hAnsi="仿宋" w:hint="eastAsia"/>
                <w:color w:val="000000"/>
              </w:rPr>
              <w:t>年初步建成全国健康旅游示范基地。</w:t>
            </w:r>
          </w:p>
          <w:p w:rsidR="000816CE" w:rsidRDefault="00FC7BEB" w:rsidP="006C0D30">
            <w:pPr>
              <w:ind w:firstLine="640"/>
              <w:rPr>
                <w:b/>
                <w:bCs/>
              </w:rPr>
            </w:pPr>
            <w:r>
              <w:rPr>
                <w:rFonts w:hint="eastAsia"/>
                <w:b/>
                <w:bCs/>
              </w:rPr>
              <w:t>——社区养老综合性设施提升工程</w:t>
            </w:r>
          </w:p>
          <w:p w:rsidR="000816CE" w:rsidRDefault="00FC7BEB">
            <w:pPr>
              <w:ind w:firstLine="625"/>
            </w:pPr>
            <w:r>
              <w:rPr>
                <w:rFonts w:ascii="仿宋_GB2312" w:eastAsia="仿宋_GB2312" w:hAnsi="仿宋_GB2312" w:cs="仿宋_GB2312" w:hint="eastAsia"/>
                <w:w w:val="98"/>
              </w:rPr>
              <w:t>鼓励和支持各地将养老服务照料中心提升改造成兼具日托护理、上门服务、护理康复、居住养老等功能的社区嵌入式养老服务中心</w:t>
            </w:r>
            <w:r>
              <w:rPr>
                <w:rFonts w:ascii="仿宋_GB2312" w:eastAsia="仿宋_GB2312" w:cs="方正仿宋_GBK" w:hint="eastAsia"/>
              </w:rPr>
              <w:t>。</w:t>
            </w:r>
            <w:r>
              <w:rPr>
                <w:rFonts w:eastAsia="仿宋_GB2312"/>
              </w:rPr>
              <w:t>大力发</w:t>
            </w:r>
            <w:r>
              <w:rPr>
                <w:rFonts w:ascii="仿宋" w:hAnsi="仿宋" w:cs="仿宋" w:hint="eastAsia"/>
              </w:rPr>
              <w:t>展“互联网</w:t>
            </w:r>
            <w:r>
              <w:rPr>
                <w:rFonts w:ascii="仿宋" w:hAnsi="仿宋" w:cs="仿宋" w:hint="eastAsia"/>
              </w:rPr>
              <w:t>+</w:t>
            </w:r>
            <w:r>
              <w:rPr>
                <w:rFonts w:ascii="仿宋" w:hAnsi="仿宋" w:cs="仿宋" w:hint="eastAsia"/>
              </w:rPr>
              <w:t>养老”</w:t>
            </w:r>
            <w:r>
              <w:rPr>
                <w:rFonts w:eastAsia="仿宋_GB2312"/>
              </w:rPr>
              <w:t>，</w:t>
            </w:r>
            <w:r>
              <w:rPr>
                <w:rFonts w:eastAsia="仿宋_GB2312"/>
                <w:w w:val="98"/>
              </w:rPr>
              <w:t>搭建信息共享、互联互通的全市统一养老服务综合管理平台和</w:t>
            </w:r>
            <w:r>
              <w:rPr>
                <w:rFonts w:ascii="仿宋" w:hAnsi="仿宋" w:cs="仿宋"/>
                <w:w w:val="98"/>
                <w:kern w:val="0"/>
                <w:shd w:val="clear" w:color="auto" w:fill="FFFFFF"/>
              </w:rPr>
              <w:t>“</w:t>
            </w:r>
            <w:r>
              <w:rPr>
                <w:rFonts w:eastAsia="仿宋_GB2312"/>
                <w:w w:val="98"/>
                <w:kern w:val="0"/>
                <w:shd w:val="clear" w:color="auto" w:fill="FFFFFF"/>
              </w:rPr>
              <w:t>12349</w:t>
            </w:r>
            <w:r>
              <w:rPr>
                <w:rFonts w:ascii="仿宋" w:hAnsi="仿宋" w:cs="仿宋"/>
                <w:w w:val="98"/>
                <w:kern w:val="0"/>
                <w:shd w:val="clear" w:color="auto" w:fill="FFFFFF"/>
              </w:rPr>
              <w:t>”</w:t>
            </w:r>
            <w:r>
              <w:rPr>
                <w:rFonts w:eastAsia="仿宋_GB2312"/>
                <w:w w:val="98"/>
                <w:kern w:val="0"/>
                <w:shd w:val="clear" w:color="auto" w:fill="FFFFFF"/>
              </w:rPr>
              <w:t>服务平台。</w:t>
            </w:r>
            <w:r>
              <w:rPr>
                <w:rFonts w:hint="eastAsia"/>
                <w:szCs w:val="40"/>
              </w:rPr>
              <w:t>到</w:t>
            </w:r>
            <w:r>
              <w:rPr>
                <w:szCs w:val="40"/>
              </w:rPr>
              <w:t>2025</w:t>
            </w:r>
            <w:r>
              <w:rPr>
                <w:szCs w:val="40"/>
              </w:rPr>
              <w:t>年</w:t>
            </w:r>
            <w:r>
              <w:rPr>
                <w:rFonts w:ascii="仿宋" w:hAnsi="仿宋" w:cs="仿宋" w:hint="eastAsia"/>
                <w:szCs w:val="40"/>
              </w:rPr>
              <w:t>，</w:t>
            </w:r>
            <w:r>
              <w:rPr>
                <w:rFonts w:eastAsia="仿宋_GB2312" w:hint="eastAsia"/>
              </w:rPr>
              <w:t>争取建成</w:t>
            </w:r>
            <w:r>
              <w:rPr>
                <w:rFonts w:eastAsia="仿宋_GB2312" w:hint="eastAsia"/>
              </w:rPr>
              <w:t>5-7</w:t>
            </w:r>
            <w:r>
              <w:rPr>
                <w:rFonts w:eastAsia="仿宋_GB2312" w:hint="eastAsia"/>
              </w:rPr>
              <w:t>个社区养老服务示范站点，建成</w:t>
            </w:r>
            <w:r>
              <w:rPr>
                <w:rFonts w:eastAsia="仿宋_GB2312" w:hint="eastAsia"/>
              </w:rPr>
              <w:t>3-5</w:t>
            </w:r>
            <w:r>
              <w:rPr>
                <w:rFonts w:eastAsia="仿宋_GB2312" w:hint="eastAsia"/>
              </w:rPr>
              <w:t>个居家养老服务照</w:t>
            </w:r>
            <w:r>
              <w:rPr>
                <w:rFonts w:eastAsia="仿宋_GB2312" w:hint="eastAsia"/>
              </w:rPr>
              <w:lastRenderedPageBreak/>
              <w:t>料中心</w:t>
            </w:r>
            <w:r>
              <w:rPr>
                <w:rFonts w:hint="eastAsia"/>
                <w:szCs w:val="40"/>
              </w:rPr>
              <w:t>，</w:t>
            </w:r>
            <w:r>
              <w:rPr>
                <w:rFonts w:ascii="仿宋" w:hAnsi="仿宋" w:cs="仿宋" w:hint="eastAsia"/>
                <w:szCs w:val="40"/>
              </w:rPr>
              <w:t>“党建</w:t>
            </w:r>
            <w:r>
              <w:rPr>
                <w:rFonts w:ascii="仿宋" w:hAnsi="仿宋" w:cs="仿宋" w:hint="eastAsia"/>
                <w:szCs w:val="40"/>
              </w:rPr>
              <w:t>+</w:t>
            </w:r>
            <w:r>
              <w:rPr>
                <w:rFonts w:ascii="仿宋" w:hAnsi="仿宋" w:cs="仿宋" w:hint="eastAsia"/>
                <w:szCs w:val="40"/>
              </w:rPr>
              <w:t>”社区邻里中心基本实现各县区全覆盖。</w:t>
            </w:r>
          </w:p>
          <w:p w:rsidR="000816CE" w:rsidRDefault="00FC7BEB">
            <w:pPr>
              <w:ind w:firstLine="643"/>
              <w:rPr>
                <w:rFonts w:ascii="仿宋_GB2312" w:eastAsia="仿宋_GB2312" w:hAnsi="仿宋_GB2312" w:cs="仿宋_GB2312"/>
              </w:rPr>
            </w:pPr>
            <w:r>
              <w:rPr>
                <w:rFonts w:ascii="仿宋_GB2312" w:eastAsia="仿宋_GB2312" w:hAnsi="仿宋_GB2312" w:cs="仿宋_GB2312" w:hint="eastAsia"/>
                <w:b/>
                <w:bCs/>
              </w:rPr>
              <w:t>主要支撑项目：</w:t>
            </w:r>
            <w:r>
              <w:rPr>
                <w:rFonts w:ascii="仿宋_GB2312" w:eastAsia="仿宋_GB2312" w:cs="方正仿宋_GBK" w:hint="eastAsia"/>
              </w:rPr>
              <w:t>游洋田园（康养）综合体项目、西苑山世界徒步公园、莆田市秀屿区休闲体育公园、国恒医药产业园二期项目、妈祖健康城、新县镇湘溪康养小镇项目、巨鼎绿能项目、龙东、龙西乡村旅游康养项目、南坛温泉度假村乡韵文化康养中心、新县镇湘溪康养小镇项目、涵江区萩芦镇农民健身中心、南坛温泉度假村乡韵文化康养中心</w:t>
            </w:r>
            <w:r>
              <w:rPr>
                <w:rFonts w:ascii="仿宋_GB2312" w:eastAsia="仿宋_GB2312" w:cs="方正仿宋_GBK" w:hint="eastAsia"/>
              </w:rPr>
              <w:t>、囊山景区全民健身绿道项目（囊山旅游步道二期）、莆田学院附属医院湄洲岛分院（区级医院）提升改造工程、湄洲岛全民健身活动中心、博普医药项目、“互联网</w:t>
            </w:r>
            <w:r>
              <w:rPr>
                <w:rFonts w:ascii="仿宋_GB2312" w:eastAsia="仿宋_GB2312" w:cs="方正仿宋_GBK" w:hint="eastAsia"/>
              </w:rPr>
              <w:t>+</w:t>
            </w:r>
            <w:r>
              <w:rPr>
                <w:rFonts w:ascii="仿宋_GB2312" w:eastAsia="仿宋_GB2312" w:cs="方正仿宋_GBK" w:hint="eastAsia"/>
              </w:rPr>
              <w:t>”医疗、养老问诊平台、天宇兰溪蓬莱项目、仙游温泉康养小镇项目。</w:t>
            </w:r>
          </w:p>
        </w:tc>
      </w:tr>
    </w:tbl>
    <w:p w:rsidR="000816CE" w:rsidRDefault="00FC7BEB" w:rsidP="006C0D30">
      <w:pPr>
        <w:pStyle w:val="2"/>
        <w:spacing w:beforeLines="150" w:after="156"/>
        <w:ind w:firstLine="640"/>
        <w:rPr>
          <w:rFonts w:eastAsia="仿宋" w:hint="default"/>
        </w:rPr>
      </w:pPr>
      <w:bookmarkStart w:id="27" w:name="_Toc16444"/>
      <w:r>
        <w:lastRenderedPageBreak/>
        <w:t>（五）房地产</w:t>
      </w:r>
      <w:bookmarkEnd w:id="27"/>
      <w:r>
        <w:t xml:space="preserve">        </w:t>
      </w:r>
    </w:p>
    <w:p w:rsidR="000816CE" w:rsidRDefault="00FC7BEB" w:rsidP="006C0D30">
      <w:pPr>
        <w:pStyle w:val="3"/>
        <w:spacing w:before="156" w:after="156"/>
        <w:ind w:firstLine="640"/>
        <w:rPr>
          <w:rFonts w:hint="default"/>
        </w:rPr>
      </w:pPr>
      <w:r>
        <w:t>1.</w:t>
      </w:r>
      <w:r>
        <w:t>发展目标</w:t>
      </w:r>
    </w:p>
    <w:p w:rsidR="000816CE" w:rsidRDefault="00FC7BEB">
      <w:pPr>
        <w:ind w:firstLine="640"/>
        <w:rPr>
          <w:rFonts w:eastAsia="仿宋_GB2312"/>
          <w:color w:val="000000"/>
          <w:kern w:val="0"/>
          <w:sz w:val="36"/>
          <w:szCs w:val="40"/>
        </w:rPr>
      </w:pPr>
      <w:r>
        <w:rPr>
          <w:rFonts w:eastAsia="仿宋_GB2312" w:hint="eastAsia"/>
          <w:color w:val="000000"/>
          <w:kern w:val="0"/>
        </w:rPr>
        <w:t>坚持“房住不炒”定位，加快莆田房地产产业升级，实现从“有所居”到“有宜居”的转变。</w:t>
      </w:r>
      <w:r>
        <w:rPr>
          <w:rFonts w:eastAsia="仿宋_GB2312"/>
          <w:color w:val="000000"/>
          <w:kern w:val="0"/>
        </w:rPr>
        <w:t>至</w:t>
      </w:r>
      <w:r>
        <w:rPr>
          <w:rFonts w:eastAsia="仿宋_GB2312"/>
          <w:color w:val="000000"/>
          <w:kern w:val="0"/>
        </w:rPr>
        <w:t>2025</w:t>
      </w:r>
      <w:r>
        <w:rPr>
          <w:rFonts w:eastAsia="仿宋_GB2312"/>
          <w:color w:val="000000"/>
          <w:kern w:val="0"/>
        </w:rPr>
        <w:t>年，</w:t>
      </w:r>
      <w:r>
        <w:rPr>
          <w:rFonts w:eastAsia="仿宋_GB2312" w:hint="eastAsia"/>
          <w:color w:val="000000"/>
          <w:kern w:val="0"/>
          <w:szCs w:val="36"/>
        </w:rPr>
        <w:t>城镇居民人均住宅建筑面积达到</w:t>
      </w:r>
      <w:r>
        <w:rPr>
          <w:rFonts w:eastAsia="仿宋_GB2312" w:hint="eastAsia"/>
          <w:color w:val="000000"/>
          <w:kern w:val="0"/>
          <w:szCs w:val="36"/>
        </w:rPr>
        <w:t>50</w:t>
      </w:r>
      <w:r>
        <w:rPr>
          <w:rFonts w:eastAsia="仿宋_GB2312" w:hint="eastAsia"/>
          <w:color w:val="000000"/>
          <w:kern w:val="0"/>
          <w:szCs w:val="36"/>
        </w:rPr>
        <w:t>平方米，“十四五”期间商品房销售面积达到</w:t>
      </w:r>
      <w:r>
        <w:rPr>
          <w:rFonts w:eastAsia="仿宋_GB2312" w:hint="eastAsia"/>
          <w:color w:val="000000"/>
          <w:kern w:val="0"/>
          <w:szCs w:val="36"/>
        </w:rPr>
        <w:t>2000</w:t>
      </w:r>
      <w:r>
        <w:rPr>
          <w:rFonts w:eastAsia="仿宋_GB2312" w:hint="eastAsia"/>
          <w:color w:val="000000"/>
          <w:kern w:val="0"/>
          <w:szCs w:val="36"/>
        </w:rPr>
        <w:t>万平方米。</w:t>
      </w:r>
    </w:p>
    <w:p w:rsidR="000816CE" w:rsidRDefault="00FC7BEB" w:rsidP="006C0D30">
      <w:pPr>
        <w:pStyle w:val="3"/>
        <w:spacing w:before="156" w:after="156"/>
        <w:ind w:firstLine="640"/>
        <w:rPr>
          <w:rFonts w:hint="default"/>
        </w:rPr>
      </w:pPr>
      <w:r>
        <w:t>2.</w:t>
      </w:r>
      <w:r>
        <w:t>主要任务</w:t>
      </w:r>
    </w:p>
    <w:p w:rsidR="000816CE" w:rsidRDefault="00FC7BEB">
      <w:pPr>
        <w:ind w:firstLine="640"/>
        <w:rPr>
          <w:rFonts w:ascii="仿宋" w:hAnsi="仿宋"/>
        </w:rPr>
      </w:pPr>
      <w:r>
        <w:rPr>
          <w:rFonts w:eastAsia="仿宋_GB2312" w:hint="eastAsia"/>
          <w:color w:val="000000"/>
          <w:kern w:val="0"/>
        </w:rPr>
        <w:t>正确处理商品住房建设供给与库存房销售间的平衡关系，持</w:t>
      </w:r>
      <w:r>
        <w:rPr>
          <w:rFonts w:eastAsia="仿宋_GB2312" w:hint="eastAsia"/>
          <w:color w:val="000000"/>
          <w:kern w:val="0"/>
        </w:rPr>
        <w:lastRenderedPageBreak/>
        <w:t>续推进地价、房价、预期三稳市场调控，</w:t>
      </w:r>
      <w:r>
        <w:rPr>
          <w:rFonts w:ascii="仿宋" w:hAnsi="仿宋" w:hint="eastAsia"/>
        </w:rPr>
        <w:t>加强维护莆田房地产市场稳定发展，促进人民期望、市场期望以及调控期望相匹配，推进房地产行业高质量发展。</w:t>
      </w:r>
    </w:p>
    <w:p w:rsidR="000816CE" w:rsidRDefault="00FC7BEB" w:rsidP="006C0D30">
      <w:pPr>
        <w:ind w:firstLine="640"/>
        <w:rPr>
          <w:rFonts w:ascii="仿宋" w:hAnsi="仿宋"/>
        </w:rPr>
      </w:pPr>
      <w:r>
        <w:rPr>
          <w:rFonts w:ascii="仿宋" w:hAnsi="仿宋" w:hint="eastAsia"/>
          <w:b/>
          <w:bCs/>
        </w:rPr>
        <w:t>加强政策市场双向化调控。</w:t>
      </w:r>
      <w:r>
        <w:rPr>
          <w:rFonts w:ascii="仿宋" w:hAnsi="仿宋" w:hint="eastAsia"/>
        </w:rPr>
        <w:t>贯彻落实中央及省委省政府关于住房和房地产重大决策部署，严格落实商品住房销售价格备案制度，加强房价、地价双控政策，实现“总体有目标、片区有控价、调控有手段”。优化商品住房供应，科学测算住宅用地需求，及时公布年度、季度用地出让计划。加强商业办公用地供应储备，结合商品住房各类产品去化周期及库存情况，优化</w:t>
      </w:r>
      <w:r>
        <w:rPr>
          <w:rFonts w:ascii="仿宋" w:hAnsi="仿宋" w:hint="eastAsia"/>
        </w:rPr>
        <w:t>供地节奏，扩大热点地区土地供应。加大安置房建设在前期提速、配套跟进、产权办证等工作的开展力度。</w:t>
      </w:r>
    </w:p>
    <w:p w:rsidR="000816CE" w:rsidRDefault="00FC7BEB" w:rsidP="006C0D30">
      <w:pPr>
        <w:ind w:firstLine="640"/>
        <w:rPr>
          <w:rFonts w:ascii="仿宋" w:hAnsi="仿宋"/>
        </w:rPr>
      </w:pPr>
      <w:r>
        <w:rPr>
          <w:rFonts w:ascii="仿宋" w:hAnsi="仿宋" w:hint="eastAsia"/>
          <w:b/>
          <w:bCs/>
        </w:rPr>
        <w:t>推动房地产业特色化发展。</w:t>
      </w:r>
      <w:r>
        <w:rPr>
          <w:rFonts w:ascii="仿宋" w:hAnsi="仿宋" w:hint="eastAsia"/>
        </w:rPr>
        <w:t>通过科学规划、合理配置，充分发挥区域性特色打造精品化、精细化房地产集群。顺应市场的风向，解析客户需求，发展复合型地产，强化纵向一体化能力，有效结合区域强势产业或上下游产业开展行业衍生转变，实现开发前精准定位、战略规划，开发后配套升级、服务跟进的高水平莆</w:t>
      </w:r>
      <w:r>
        <w:rPr>
          <w:rFonts w:ascii="仿宋" w:hAnsi="仿宋" w:hint="eastAsia"/>
        </w:rPr>
        <w:lastRenderedPageBreak/>
        <w:t>田特色房地产体系。</w:t>
      </w:r>
    </w:p>
    <w:p w:rsidR="000816CE" w:rsidRDefault="00FC7BEB" w:rsidP="006C0D30">
      <w:pPr>
        <w:ind w:firstLine="640"/>
        <w:rPr>
          <w:rFonts w:ascii="仿宋" w:hAnsi="仿宋"/>
        </w:rPr>
      </w:pPr>
      <w:r>
        <w:rPr>
          <w:rFonts w:ascii="仿宋" w:hAnsi="仿宋" w:hint="eastAsia"/>
          <w:b/>
          <w:bCs/>
        </w:rPr>
        <w:t>完善住宅周边公共配套。</w:t>
      </w:r>
      <w:r>
        <w:rPr>
          <w:rFonts w:ascii="仿宋" w:hAnsi="仿宋" w:hint="eastAsia"/>
        </w:rPr>
        <w:t>设立住宅公共设施配套标准，对老旧小区要以完善基本服务功能为主进行公共服务设施的配套，满足群众的基本</w:t>
      </w:r>
      <w:r>
        <w:rPr>
          <w:rFonts w:ascii="仿宋" w:hAnsi="仿宋" w:hint="eastAsia"/>
        </w:rPr>
        <w:t>服务需求；对新建住宅小区要严格按照立法的规定，强化规划设计，完善各类配套设施的建设和运营管理，进行严格的验收和考核。在不脱离实际的前提下适度超前配置，顺应信息化、网络化、智能化发展的需要，如智能化设施的逐步应用等，以满足居民需求。</w:t>
      </w:r>
    </w:p>
    <w:p w:rsidR="000816CE" w:rsidRDefault="00FC7BEB" w:rsidP="006C0D30">
      <w:pPr>
        <w:ind w:firstLine="640"/>
        <w:rPr>
          <w:rFonts w:ascii="仿宋" w:hAnsi="仿宋"/>
        </w:rPr>
      </w:pPr>
      <w:r>
        <w:rPr>
          <w:rFonts w:ascii="仿宋" w:hAnsi="仿宋" w:hint="eastAsia"/>
          <w:b/>
          <w:bCs/>
        </w:rPr>
        <w:t>推广政策性租赁住房模式。</w:t>
      </w:r>
      <w:r>
        <w:rPr>
          <w:rFonts w:ascii="仿宋" w:hAnsi="仿宋" w:hint="eastAsia"/>
        </w:rPr>
        <w:t>积极引进和扶持机构化、规模化租赁企业进行建设及运营，通过收购、改建、转化等多种方式保证房源稳定。建设重点针对非莆田户籍常住人口和新落户、新就业大学生等新市民群体的小户型低租金政策性租赁住房。加快搭建和完善政府主导的政策性租赁住房管理服务平台，简化申请流程，</w:t>
      </w:r>
      <w:r>
        <w:rPr>
          <w:rFonts w:ascii="仿宋" w:hAnsi="仿宋" w:hint="eastAsia"/>
        </w:rPr>
        <w:t>有效缩短申请时间。</w:t>
      </w:r>
    </w:p>
    <w:tbl>
      <w:tblPr>
        <w:tblStyle w:val="ac"/>
        <w:tblW w:w="9140" w:type="dxa"/>
        <w:tblLayout w:type="fixed"/>
        <w:tblLook w:val="04A0"/>
      </w:tblPr>
      <w:tblGrid>
        <w:gridCol w:w="9140"/>
      </w:tblGrid>
      <w:tr w:rsidR="000816CE">
        <w:tc>
          <w:tcPr>
            <w:tcW w:w="9140" w:type="dxa"/>
            <w:shd w:val="clear" w:color="auto" w:fill="DAEEF3"/>
          </w:tcPr>
          <w:p w:rsidR="000816CE" w:rsidRDefault="00FC7BEB">
            <w:pPr>
              <w:pStyle w:val="a6"/>
              <w:snapToGrid/>
            </w:pPr>
            <w:r>
              <w:rPr>
                <w:rFonts w:hint="eastAsia"/>
              </w:rPr>
              <w:t>专栏</w:t>
            </w:r>
            <w:r>
              <w:rPr>
                <w:rFonts w:hint="eastAsia"/>
              </w:rPr>
              <w:t xml:space="preserve">10  </w:t>
            </w:r>
            <w:r>
              <w:rPr>
                <w:rFonts w:ascii="仿宋_GB2312" w:eastAsia="仿宋_GB2312" w:hAnsi="楷体" w:cs="楷体" w:hint="eastAsia"/>
                <w:color w:val="000000"/>
              </w:rPr>
              <w:t>房地产高品质发展</w:t>
            </w:r>
            <w:r>
              <w:rPr>
                <w:rFonts w:hint="eastAsia"/>
              </w:rPr>
              <w:t>工程</w:t>
            </w:r>
          </w:p>
        </w:tc>
      </w:tr>
      <w:tr w:rsidR="000816CE">
        <w:tc>
          <w:tcPr>
            <w:tcW w:w="9140" w:type="dxa"/>
          </w:tcPr>
          <w:p w:rsidR="000816CE" w:rsidRDefault="00FC7BEB" w:rsidP="006C0D30">
            <w:pPr>
              <w:spacing w:beforeLines="50"/>
              <w:ind w:firstLine="640"/>
              <w:jc w:val="left"/>
              <w:rPr>
                <w:b/>
                <w:bCs/>
              </w:rPr>
            </w:pPr>
            <w:r>
              <w:rPr>
                <w:rFonts w:hint="eastAsia"/>
                <w:b/>
                <w:bCs/>
              </w:rPr>
              <w:t>——房地产多元化发展工程</w:t>
            </w:r>
          </w:p>
          <w:p w:rsidR="000816CE" w:rsidRDefault="00FC7BEB">
            <w:pPr>
              <w:pStyle w:val="21"/>
              <w:ind w:firstLineChars="200" w:firstLine="640"/>
              <w:jc w:val="left"/>
              <w:rPr>
                <w:b w:val="0"/>
                <w:bCs/>
              </w:rPr>
            </w:pPr>
            <w:r>
              <w:rPr>
                <w:rFonts w:hint="eastAsia"/>
                <w:b w:val="0"/>
                <w:bCs/>
              </w:rPr>
              <w:lastRenderedPageBreak/>
              <w:t>以城厢、荔城等城区为核心，重点完善周边“吃、喝、玩、购”配置，集中进行生活便利的商业型房地产建设；仙游等西部区域重点围绕自然景区，依托自身地理景观优势打造山脉特色别墅型旅游住宅区；北岸周边区域强化与妈祖健康城等康养基地合作，形成交通便利、体验丰富的养生型居住区。</w:t>
            </w:r>
          </w:p>
          <w:p w:rsidR="000816CE" w:rsidRDefault="00FC7BEB" w:rsidP="006C0D30">
            <w:pPr>
              <w:ind w:firstLine="640"/>
              <w:rPr>
                <w:b/>
                <w:bCs/>
              </w:rPr>
            </w:pPr>
            <w:r>
              <w:rPr>
                <w:rFonts w:hint="eastAsia"/>
                <w:b/>
                <w:bCs/>
              </w:rPr>
              <w:t>——政策性人才住房工程</w:t>
            </w:r>
          </w:p>
          <w:p w:rsidR="000816CE" w:rsidRDefault="00FC7BEB">
            <w:pPr>
              <w:ind w:firstLine="640"/>
            </w:pPr>
            <w:r>
              <w:rPr>
                <w:rFonts w:hint="eastAsia"/>
              </w:rPr>
              <w:t>创建莆田产业人才白名单，注重人才审批机制合理性设置，重点引进莆田急需产业人才，通过发放补助等形式有效降低人才来莆居住成本。集中区域建设高水平人才公寓，健全公寓申请、人才分级机制，科学合理制定居住优惠价格，统筹公寓周边道路、供水、供电等市政基础设施和医疗、卫生、教育、商业等公共服务设施配套。</w:t>
            </w:r>
          </w:p>
          <w:p w:rsidR="000816CE" w:rsidRDefault="00FC7BEB" w:rsidP="006C0D30">
            <w:pPr>
              <w:ind w:firstLine="640"/>
              <w:rPr>
                <w:b/>
                <w:bCs/>
              </w:rPr>
            </w:pPr>
            <w:r>
              <w:rPr>
                <w:rFonts w:hint="eastAsia"/>
                <w:b/>
                <w:bCs/>
              </w:rPr>
              <w:t>——房价多方位监督工程</w:t>
            </w:r>
          </w:p>
          <w:p w:rsidR="000816CE" w:rsidRDefault="00FC7BEB">
            <w:pPr>
              <w:ind w:firstLine="640"/>
            </w:pPr>
            <w:r>
              <w:rPr>
                <w:rFonts w:hint="eastAsia"/>
              </w:rPr>
              <w:t>除住房表面价格监督管控外，还要从车位定价、住宅精装等角度开展全面、无死角的管控工作。防止开展产商利用强行车位绑定车位、装修绑定等手段变相加价行为的监督工作，实现车位、</w:t>
            </w:r>
            <w:r>
              <w:rPr>
                <w:rFonts w:hint="eastAsia"/>
              </w:rPr>
              <w:lastRenderedPageBreak/>
              <w:t>装修价格合理化、透明化，杜绝变</w:t>
            </w:r>
            <w:r>
              <w:rPr>
                <w:rFonts w:hint="eastAsia"/>
              </w:rPr>
              <w:t>相加价，开通群众举报路径，打击恶意破坏市场秩序的开发商，强化监督力度。</w:t>
            </w:r>
          </w:p>
          <w:p w:rsidR="000816CE" w:rsidRDefault="00FC7BEB">
            <w:pPr>
              <w:pStyle w:val="21"/>
              <w:jc w:val="both"/>
            </w:pPr>
            <w:r>
              <w:rPr>
                <w:rFonts w:hint="eastAsia"/>
              </w:rPr>
              <w:t>主要项目：</w:t>
            </w:r>
            <w:r>
              <w:rPr>
                <w:rFonts w:hint="eastAsia"/>
                <w:b w:val="0"/>
                <w:bCs/>
              </w:rPr>
              <w:t>玉田片区城市综合体项目、霞办建筑业总部二期项目、国恒医药产业园二期项目、磐龙府二期（商业）项目、政校共建研学基地项目、集中居住区建设改造工程、湄洲岛全民健身活动中心项目、秀屿区创新综合体项目、东峤工业服务综合体项目。</w:t>
            </w:r>
          </w:p>
        </w:tc>
      </w:tr>
    </w:tbl>
    <w:p w:rsidR="000816CE" w:rsidRDefault="000816CE" w:rsidP="006C0D30">
      <w:pPr>
        <w:pStyle w:val="1"/>
        <w:spacing w:beforeLines="100" w:after="156"/>
        <w:sectPr w:rsidR="000816CE">
          <w:pgSz w:w="11906" w:h="16838"/>
          <w:pgMar w:top="1327" w:right="1519" w:bottom="1417" w:left="1463" w:header="851" w:footer="992" w:gutter="0"/>
          <w:cols w:space="720"/>
          <w:docGrid w:type="lines" w:linePitch="312"/>
        </w:sectPr>
      </w:pPr>
    </w:p>
    <w:p w:rsidR="000816CE" w:rsidRDefault="00FC7BEB" w:rsidP="006C0D30">
      <w:pPr>
        <w:pStyle w:val="1"/>
        <w:spacing w:beforeLines="100" w:after="156"/>
      </w:pPr>
      <w:bookmarkStart w:id="28" w:name="_Toc5654"/>
      <w:r>
        <w:rPr>
          <w:rFonts w:hint="eastAsia"/>
        </w:rPr>
        <w:lastRenderedPageBreak/>
        <w:t>第六章</w:t>
      </w:r>
      <w:r>
        <w:rPr>
          <w:rFonts w:hint="eastAsia"/>
        </w:rPr>
        <w:t xml:space="preserve"> </w:t>
      </w:r>
      <w:r>
        <w:rPr>
          <w:rFonts w:hint="eastAsia"/>
        </w:rPr>
        <w:t>推动服务业高质量发展</w:t>
      </w:r>
      <w:bookmarkEnd w:id="28"/>
      <w:r>
        <w:rPr>
          <w:rFonts w:hint="eastAsia"/>
        </w:rPr>
        <w:t xml:space="preserve">      </w:t>
      </w:r>
    </w:p>
    <w:p w:rsidR="000816CE" w:rsidRDefault="00FC7BEB" w:rsidP="006C0D30">
      <w:pPr>
        <w:pStyle w:val="2"/>
        <w:spacing w:before="156" w:after="156"/>
        <w:ind w:firstLine="640"/>
        <w:rPr>
          <w:rFonts w:eastAsia="仿宋" w:hint="default"/>
        </w:rPr>
      </w:pPr>
      <w:bookmarkStart w:id="29" w:name="_Toc29446"/>
      <w:r>
        <w:t>（一）坚持创新驱动，塑造发展竞争优势</w:t>
      </w:r>
      <w:bookmarkEnd w:id="29"/>
    </w:p>
    <w:p w:rsidR="000816CE" w:rsidRDefault="00FC7BEB">
      <w:pPr>
        <w:ind w:firstLine="640"/>
      </w:pPr>
      <w:r>
        <w:rPr>
          <w:rFonts w:hint="eastAsia"/>
        </w:rPr>
        <w:t>坚持创新在现代服务业发展中的核心地位，深入实施科教兴市、人才强市战略，形成全社会大众创业、万众创新的潮涌，打造莆田市现代服务业竞争新优势。</w:t>
      </w:r>
    </w:p>
    <w:p w:rsidR="000816CE" w:rsidRDefault="00FC7BEB" w:rsidP="006C0D30">
      <w:pPr>
        <w:ind w:firstLine="640"/>
        <w:rPr>
          <w:b/>
          <w:bCs/>
        </w:rPr>
      </w:pPr>
      <w:r>
        <w:rPr>
          <w:rFonts w:hint="eastAsia"/>
          <w:b/>
          <w:bCs/>
        </w:rPr>
        <w:t>1.</w:t>
      </w:r>
      <w:r>
        <w:rPr>
          <w:rFonts w:hint="eastAsia"/>
          <w:b/>
          <w:bCs/>
        </w:rPr>
        <w:t>坚持创新核心地位，推动持续创新</w:t>
      </w:r>
    </w:p>
    <w:p w:rsidR="000816CE" w:rsidRDefault="00FC7BEB">
      <w:pPr>
        <w:ind w:firstLine="640"/>
      </w:pPr>
      <w:r>
        <w:rPr>
          <w:rFonts w:hint="eastAsia"/>
        </w:rPr>
        <w:t>以强化联合创新、原始创新为主攻方向，强化关键核心技术研发和前沿技术供给，围绕“</w:t>
      </w:r>
      <w:r>
        <w:rPr>
          <w:rFonts w:hint="eastAsia"/>
        </w:rPr>
        <w:t>343</w:t>
      </w:r>
      <w:r>
        <w:rPr>
          <w:rFonts w:hint="eastAsia"/>
        </w:rPr>
        <w:t>”重点产业，布局一批符合产业需求的专业化、特色化产业技术研究院。发挥企业在科技创新中的主体作用，加快创新要素向企业端集聚，重点打造一批科技小巨人、“专精特新”“单项冠军”等创新型领军企业，鼓励企业加大研发投入。</w:t>
      </w:r>
    </w:p>
    <w:p w:rsidR="000816CE" w:rsidRDefault="00FC7BEB" w:rsidP="006C0D30">
      <w:pPr>
        <w:ind w:firstLine="640"/>
        <w:rPr>
          <w:b/>
          <w:bCs/>
        </w:rPr>
      </w:pPr>
      <w:r>
        <w:rPr>
          <w:rFonts w:hint="eastAsia"/>
          <w:b/>
          <w:bCs/>
        </w:rPr>
        <w:t>2.</w:t>
      </w:r>
      <w:r>
        <w:rPr>
          <w:rFonts w:hint="eastAsia"/>
          <w:b/>
          <w:bCs/>
        </w:rPr>
        <w:t>健全创新创业体系，激发创造活力</w:t>
      </w:r>
    </w:p>
    <w:p w:rsidR="000816CE" w:rsidRDefault="00FC7BEB">
      <w:pPr>
        <w:ind w:firstLine="640"/>
      </w:pPr>
      <w:r>
        <w:rPr>
          <w:rFonts w:hint="eastAsia"/>
        </w:rPr>
        <w:t>建立健全创新创业体系，引导大众创业、万众创新。加大众创空间和创业创新示范基地扶持力度，优化创业孵化体系，重点提升莆田高新区创业孵化服务能力。实施“莆智回归”、“壶兰英才”</w:t>
      </w:r>
      <w:r>
        <w:rPr>
          <w:rFonts w:hint="eastAsia"/>
        </w:rPr>
        <w:lastRenderedPageBreak/>
        <w:t>培育等工程，精准引才、精准育才，鼓励科研人员、大学生等群体创新创业，为自主创业人员提供便利化服务。</w:t>
      </w:r>
    </w:p>
    <w:p w:rsidR="000816CE" w:rsidRDefault="00FC7BEB" w:rsidP="006C0D30">
      <w:pPr>
        <w:ind w:firstLine="640"/>
      </w:pPr>
      <w:r>
        <w:rPr>
          <w:rFonts w:hint="eastAsia"/>
          <w:b/>
          <w:bCs/>
        </w:rPr>
        <w:t>3.</w:t>
      </w:r>
      <w:r>
        <w:rPr>
          <w:rFonts w:hint="eastAsia"/>
          <w:b/>
          <w:bCs/>
        </w:rPr>
        <w:t>优化创新创造环境，释放创造动能</w:t>
      </w:r>
    </w:p>
    <w:p w:rsidR="000816CE" w:rsidRDefault="00FC7BEB">
      <w:pPr>
        <w:ind w:firstLine="640"/>
      </w:pPr>
      <w:r>
        <w:rPr>
          <w:rFonts w:hint="eastAsia"/>
        </w:rPr>
        <w:t>持续优化创新创造良好发展环境，健全财政性科技经费稳定增长机制，加大国内外授权发明专利补助力度。推动建立知识产权快速协同保护机制，加强对新兴产业、重点领域、关键核心技术的知识产权司法保护力度。加强引导银行业金</w:t>
      </w:r>
      <w:r>
        <w:rPr>
          <w:rFonts w:hint="eastAsia"/>
        </w:rPr>
        <w:t>融、风险管控等配套服务机构创新服务模式，完善服务体系，优化创新创造良好发展环境，鼓励释放创造动能。</w:t>
      </w:r>
    </w:p>
    <w:p w:rsidR="000816CE" w:rsidRDefault="00FC7BEB" w:rsidP="006C0D30">
      <w:pPr>
        <w:pStyle w:val="2"/>
        <w:spacing w:before="156" w:after="156"/>
        <w:ind w:firstLine="640"/>
        <w:rPr>
          <w:rFonts w:eastAsia="仿宋" w:hint="default"/>
        </w:rPr>
      </w:pPr>
      <w:bookmarkStart w:id="30" w:name="_Toc16496"/>
      <w:r>
        <w:t>（二）产业融合发展，发展壮大实体经济</w:t>
      </w:r>
      <w:bookmarkEnd w:id="30"/>
    </w:p>
    <w:p w:rsidR="000816CE" w:rsidRDefault="00FC7BEB">
      <w:pPr>
        <w:ind w:firstLine="640"/>
      </w:pPr>
      <w:r>
        <w:rPr>
          <w:rFonts w:hint="eastAsia"/>
        </w:rPr>
        <w:t>紧跟全球产业融合发展新趋势，推动现代服务业与先进制造业、现代农业深度融合及服务业内部融合发展，推动构建交叉渗透、相融相长、耦合共生的产业生态系统。</w:t>
      </w:r>
    </w:p>
    <w:p w:rsidR="000816CE" w:rsidRDefault="00FC7BEB" w:rsidP="006C0D30">
      <w:pPr>
        <w:ind w:firstLine="640"/>
        <w:rPr>
          <w:b/>
          <w:bCs/>
        </w:rPr>
      </w:pPr>
      <w:r>
        <w:rPr>
          <w:rFonts w:hint="eastAsia"/>
          <w:b/>
          <w:bCs/>
        </w:rPr>
        <w:t>1.</w:t>
      </w:r>
      <w:r>
        <w:rPr>
          <w:rFonts w:hint="eastAsia"/>
          <w:b/>
          <w:bCs/>
        </w:rPr>
        <w:t>促进服务业与制造业深度融合</w:t>
      </w:r>
    </w:p>
    <w:p w:rsidR="000816CE" w:rsidRDefault="00FC7BEB">
      <w:pPr>
        <w:ind w:firstLine="640"/>
      </w:pPr>
      <w:r>
        <w:rPr>
          <w:rFonts w:eastAsia="仿宋_GB2312" w:hint="eastAsia"/>
        </w:rPr>
        <w:t>培育深度融合发展的新产业、新业态、新模式，建设一批创新活跃、效益显著、质量卓越、带动效应突出的深度融合发展企业、平台和示范区。加快推动工业互联网创新应用，建设数字化、</w:t>
      </w:r>
      <w:r>
        <w:rPr>
          <w:rFonts w:eastAsia="仿宋_GB2312" w:hint="eastAsia"/>
        </w:rPr>
        <w:lastRenderedPageBreak/>
        <w:t>网络化、智能化制造和服务体系</w:t>
      </w:r>
      <w:r>
        <w:rPr>
          <w:rFonts w:eastAsia="仿宋_GB2312" w:hint="eastAsia"/>
        </w:rPr>
        <w:t>。鼓励金融机构与制造业龙头企业合作打造供应链金融服务平台，稳步推动供应链金融服务规范发展和创新，拓展产业集群中小微企业的融资渠道。发展服务型制造，鼓励企业从产品制造商向系统解决方案提供商转变，支持开展总集成总承包、定制化服务、全生命周期管理等模式。推动服务向制造拓展，鼓励服务企业发挥数据、技术、渠道、创意等要素优势，通过个性定制、委托制造、品牌授权等方式向制造环节拓展，实现服务产品化发展。</w:t>
      </w:r>
    </w:p>
    <w:p w:rsidR="000816CE" w:rsidRDefault="00FC7BEB" w:rsidP="006C0D30">
      <w:pPr>
        <w:ind w:firstLine="640"/>
        <w:rPr>
          <w:rFonts w:eastAsia="仿宋_GB2312"/>
          <w:b/>
          <w:bCs/>
        </w:rPr>
      </w:pPr>
      <w:r>
        <w:rPr>
          <w:rFonts w:hint="eastAsia"/>
          <w:b/>
          <w:bCs/>
        </w:rPr>
        <w:t>2.</w:t>
      </w:r>
      <w:r>
        <w:rPr>
          <w:rFonts w:hint="eastAsia"/>
          <w:b/>
          <w:bCs/>
        </w:rPr>
        <w:t>推动服务业与农业融合发展</w:t>
      </w:r>
    </w:p>
    <w:p w:rsidR="000816CE" w:rsidRDefault="00FC7BEB">
      <w:pPr>
        <w:ind w:firstLine="640"/>
      </w:pPr>
      <w:r>
        <w:rPr>
          <w:rFonts w:eastAsia="仿宋_GB2312"/>
        </w:rPr>
        <w:t>大力发展农产品物流、农产品质量安全监督、农机租赁、农业技术培训等为农服务</w:t>
      </w:r>
      <w:r>
        <w:rPr>
          <w:rFonts w:eastAsia="仿宋_GB2312" w:hint="eastAsia"/>
        </w:rPr>
        <w:t>。</w:t>
      </w:r>
      <w:r>
        <w:rPr>
          <w:rFonts w:eastAsia="仿宋_GB2312"/>
        </w:rPr>
        <w:t>鼓励和发展农产</w:t>
      </w:r>
      <w:r>
        <w:rPr>
          <w:rFonts w:eastAsia="仿宋_GB2312"/>
        </w:rPr>
        <w:t>品电商产业，开展信息进村入户整市推进工程，培育一批农村电商特色村、特色镇。推动农业龙头企业联合金融机构建设农业供应链金融服务平台，开发特色农业贷款产品，满足上下游农户和中小微涉农企业的融资需求。深入推进</w:t>
      </w:r>
      <w:r>
        <w:rPr>
          <w:rFonts w:ascii="仿宋" w:hAnsi="仿宋" w:cs="仿宋" w:hint="eastAsia"/>
        </w:rPr>
        <w:t>“互联网</w:t>
      </w:r>
      <w:r>
        <w:rPr>
          <w:rFonts w:ascii="仿宋" w:hAnsi="仿宋" w:cs="仿宋" w:hint="eastAsia"/>
        </w:rPr>
        <w:t>+</w:t>
      </w:r>
      <w:r>
        <w:rPr>
          <w:rFonts w:ascii="仿宋" w:hAnsi="仿宋" w:cs="仿宋" w:hint="eastAsia"/>
        </w:rPr>
        <w:t>农业”，</w:t>
      </w:r>
      <w:r>
        <w:rPr>
          <w:rFonts w:eastAsia="仿宋_GB2312"/>
        </w:rPr>
        <w:t>利用区块链、大数据、</w:t>
      </w:r>
      <w:r>
        <w:rPr>
          <w:rFonts w:eastAsia="仿宋_GB2312"/>
        </w:rPr>
        <w:t>5G</w:t>
      </w:r>
      <w:r>
        <w:rPr>
          <w:rFonts w:eastAsia="仿宋_GB2312"/>
        </w:rPr>
        <w:t>智能技术等融入农业多功能开发，发展实时农业物联网信息采集系统。</w:t>
      </w:r>
    </w:p>
    <w:p w:rsidR="000816CE" w:rsidRDefault="00FC7BEB" w:rsidP="006C0D30">
      <w:pPr>
        <w:ind w:firstLine="640"/>
        <w:rPr>
          <w:b/>
          <w:bCs/>
        </w:rPr>
      </w:pPr>
      <w:r>
        <w:rPr>
          <w:rFonts w:hint="eastAsia"/>
          <w:b/>
          <w:bCs/>
        </w:rPr>
        <w:t>3.</w:t>
      </w:r>
      <w:r>
        <w:rPr>
          <w:rFonts w:hint="eastAsia"/>
          <w:b/>
          <w:bCs/>
        </w:rPr>
        <w:t>推动服务业内部融合发展</w:t>
      </w:r>
    </w:p>
    <w:p w:rsidR="000816CE" w:rsidRDefault="00FC7BEB">
      <w:pPr>
        <w:ind w:firstLine="640"/>
      </w:pPr>
      <w:r>
        <w:rPr>
          <w:rFonts w:hint="eastAsia"/>
        </w:rPr>
        <w:t>大力推动服务业内部各行业交叉渗透、跨界融合，提高服务业发展质量和水平。重点推动信息服务与传统服务业、科技服务与金融服务、健康养老与医疗卫生、文化与旅游、物流运输与快</w:t>
      </w:r>
      <w:r>
        <w:rPr>
          <w:rFonts w:hint="eastAsia"/>
        </w:rPr>
        <w:lastRenderedPageBreak/>
        <w:t>递服务等领域</w:t>
      </w:r>
      <w:r>
        <w:rPr>
          <w:rFonts w:hint="eastAsia"/>
        </w:rPr>
        <w:t>互通融合发展，促进服务业优化升级。加快推动“互联网</w:t>
      </w:r>
      <w:r>
        <w:rPr>
          <w:rFonts w:hint="eastAsia"/>
        </w:rPr>
        <w:t>+</w:t>
      </w:r>
      <w:r>
        <w:rPr>
          <w:rFonts w:hint="eastAsia"/>
        </w:rPr>
        <w:t>物流”“互联网</w:t>
      </w:r>
      <w:r>
        <w:rPr>
          <w:rFonts w:hint="eastAsia"/>
        </w:rPr>
        <w:t>+</w:t>
      </w:r>
      <w:r>
        <w:rPr>
          <w:rFonts w:hint="eastAsia"/>
        </w:rPr>
        <w:t>设计”“互联网</w:t>
      </w:r>
      <w:r>
        <w:rPr>
          <w:rFonts w:hint="eastAsia"/>
        </w:rPr>
        <w:t>+</w:t>
      </w:r>
      <w:r>
        <w:rPr>
          <w:rFonts w:hint="eastAsia"/>
        </w:rPr>
        <w:t>金融”等新业态发展。</w:t>
      </w:r>
    </w:p>
    <w:p w:rsidR="000816CE" w:rsidRDefault="00FC7BEB" w:rsidP="006C0D30">
      <w:pPr>
        <w:pStyle w:val="2"/>
        <w:spacing w:before="156" w:after="156"/>
        <w:ind w:firstLine="640"/>
        <w:rPr>
          <w:rFonts w:eastAsia="仿宋" w:hint="default"/>
        </w:rPr>
      </w:pPr>
      <w:bookmarkStart w:id="31" w:name="_Toc27760"/>
      <w:r>
        <w:t>（三）产业集聚发展，优化服务产业体系</w:t>
      </w:r>
      <w:bookmarkEnd w:id="31"/>
    </w:p>
    <w:p w:rsidR="000816CE" w:rsidRDefault="00FC7BEB">
      <w:pPr>
        <w:widowControl/>
        <w:ind w:firstLine="640"/>
        <w:jc w:val="left"/>
      </w:pPr>
      <w:r>
        <w:t>围绕现代物流、电子商务、</w:t>
      </w:r>
      <w:r>
        <w:rPr>
          <w:rFonts w:hint="eastAsia"/>
        </w:rPr>
        <w:t>总部经济</w:t>
      </w:r>
      <w:r>
        <w:t>、商贸流通、</w:t>
      </w:r>
      <w:r>
        <w:rPr>
          <w:rFonts w:hint="eastAsia"/>
        </w:rPr>
        <w:t>文化旅游</w:t>
      </w:r>
      <w:r>
        <w:t>、健康养老服务等领域，聚集要素资源，大力促进现代服务业集聚发展</w:t>
      </w:r>
      <w:r>
        <w:rPr>
          <w:rFonts w:hint="eastAsia"/>
        </w:rPr>
        <w:t>，优化现代服务产业体系</w:t>
      </w:r>
      <w:r>
        <w:t>。</w:t>
      </w:r>
    </w:p>
    <w:p w:rsidR="000816CE" w:rsidRDefault="00FC7BEB" w:rsidP="006C0D30">
      <w:pPr>
        <w:ind w:firstLine="640"/>
        <w:rPr>
          <w:b/>
          <w:bCs/>
        </w:rPr>
      </w:pPr>
      <w:r>
        <w:rPr>
          <w:rFonts w:hint="eastAsia"/>
          <w:b/>
          <w:bCs/>
        </w:rPr>
        <w:t>1.</w:t>
      </w:r>
      <w:r>
        <w:rPr>
          <w:rFonts w:hint="eastAsia"/>
          <w:b/>
          <w:bCs/>
        </w:rPr>
        <w:t>现代物流集聚区</w:t>
      </w:r>
    </w:p>
    <w:p w:rsidR="000816CE" w:rsidRDefault="00FC7BEB">
      <w:pPr>
        <w:ind w:firstLine="640"/>
      </w:pPr>
      <w:r>
        <w:rPr>
          <w:rFonts w:hint="eastAsia"/>
        </w:rPr>
        <w:t>依托高承载力港区、一体化冷链物流园区、融合型制造业物流基地、多样性电商产业园建设为集聚核心，开展向周边延伸的现代化全局物流体系建设工程，形成内联外通、安全高效的物流网络。</w:t>
      </w:r>
    </w:p>
    <w:p w:rsidR="000816CE" w:rsidRDefault="00FC7BEB" w:rsidP="006C0D30">
      <w:pPr>
        <w:ind w:firstLine="640"/>
        <w:rPr>
          <w:b/>
          <w:bCs/>
        </w:rPr>
      </w:pPr>
      <w:r>
        <w:rPr>
          <w:rFonts w:hint="eastAsia"/>
          <w:b/>
          <w:bCs/>
        </w:rPr>
        <w:t>2.</w:t>
      </w:r>
      <w:r>
        <w:rPr>
          <w:rFonts w:hint="eastAsia"/>
          <w:b/>
          <w:bCs/>
        </w:rPr>
        <w:t>电子商务集聚区</w:t>
      </w:r>
    </w:p>
    <w:p w:rsidR="000816CE" w:rsidRDefault="00FC7BEB">
      <w:pPr>
        <w:ind w:firstLine="640"/>
      </w:pPr>
      <w:r>
        <w:rPr>
          <w:rFonts w:hint="eastAsia"/>
        </w:rPr>
        <w:t>以跨境电商、</w:t>
      </w:r>
      <w:r>
        <w:t>产业</w:t>
      </w:r>
      <w:r>
        <w:rPr>
          <w:rFonts w:hint="eastAsia"/>
        </w:rPr>
        <w:t>电商为着力点，推动莆田电子商务链式发展，完善电商服务机制体制，打造汇聚</w:t>
      </w:r>
      <w:r>
        <w:t>供应链</w:t>
      </w:r>
      <w:r>
        <w:rPr>
          <w:rFonts w:hint="eastAsia"/>
        </w:rPr>
        <w:t>、</w:t>
      </w:r>
      <w:r>
        <w:t>电商运营</w:t>
      </w:r>
      <w:r>
        <w:rPr>
          <w:rFonts w:hint="eastAsia"/>
        </w:rPr>
        <w:t>、</w:t>
      </w:r>
      <w:r>
        <w:t>物流、金融</w:t>
      </w:r>
      <w:r>
        <w:rPr>
          <w:rFonts w:hint="eastAsia"/>
        </w:rPr>
        <w:t>等各个环节资源，协同发展的电子商务产业集群。</w:t>
      </w:r>
    </w:p>
    <w:p w:rsidR="000816CE" w:rsidRDefault="00FC7BEB" w:rsidP="006C0D30">
      <w:pPr>
        <w:ind w:firstLine="640"/>
        <w:rPr>
          <w:b/>
          <w:bCs/>
        </w:rPr>
      </w:pPr>
      <w:r>
        <w:rPr>
          <w:rFonts w:hint="eastAsia"/>
          <w:b/>
          <w:bCs/>
        </w:rPr>
        <w:t>3.</w:t>
      </w:r>
      <w:r>
        <w:rPr>
          <w:rFonts w:hint="eastAsia"/>
          <w:b/>
          <w:bCs/>
        </w:rPr>
        <w:t>商贸流通集聚区</w:t>
      </w:r>
    </w:p>
    <w:p w:rsidR="000816CE" w:rsidRDefault="00FC7BEB">
      <w:pPr>
        <w:ind w:firstLine="640"/>
      </w:pPr>
      <w:r>
        <w:rPr>
          <w:rFonts w:hint="eastAsia"/>
        </w:rPr>
        <w:lastRenderedPageBreak/>
        <w:t>通过多层次、差异化的布局，融合购物、体验、休闲、娱乐等多业态凝聚发展合力，推动传统商贸转型升级，促进城乡居民扩大消费，着重布局交通枢纽，高密度人口地带打造商圈示范工程。</w:t>
      </w:r>
    </w:p>
    <w:p w:rsidR="000816CE" w:rsidRDefault="00FC7BEB" w:rsidP="006C0D30">
      <w:pPr>
        <w:ind w:firstLine="640"/>
        <w:rPr>
          <w:b/>
          <w:bCs/>
        </w:rPr>
      </w:pPr>
      <w:r>
        <w:rPr>
          <w:rFonts w:hint="eastAsia"/>
          <w:b/>
          <w:bCs/>
        </w:rPr>
        <w:t>4.</w:t>
      </w:r>
      <w:r>
        <w:rPr>
          <w:rFonts w:hint="eastAsia"/>
          <w:b/>
          <w:bCs/>
        </w:rPr>
        <w:t>文化旅游集聚区</w:t>
      </w:r>
    </w:p>
    <w:p w:rsidR="000816CE" w:rsidRDefault="00FC7BEB">
      <w:pPr>
        <w:ind w:firstLine="640"/>
      </w:pPr>
      <w:r>
        <w:rPr>
          <w:rFonts w:hint="eastAsia"/>
        </w:rPr>
        <w:t>围绕滨海、沿溪、名城、山脉四大主题景观区域，搭建大型文旅景区带，深化莆田优秀民俗文化与旅游产业结合，适应区域发展特点延伸旅游产业链条，合理布局，带动文旅产业转型升级。</w:t>
      </w:r>
    </w:p>
    <w:p w:rsidR="000816CE" w:rsidRDefault="00FC7BEB" w:rsidP="006C0D30">
      <w:pPr>
        <w:ind w:firstLine="640"/>
        <w:rPr>
          <w:b/>
          <w:bCs/>
        </w:rPr>
      </w:pPr>
      <w:r>
        <w:rPr>
          <w:rFonts w:hint="eastAsia"/>
          <w:b/>
          <w:bCs/>
        </w:rPr>
        <w:t>5.</w:t>
      </w:r>
      <w:r>
        <w:rPr>
          <w:rFonts w:hint="eastAsia"/>
          <w:b/>
          <w:bCs/>
        </w:rPr>
        <w:t>平台经济集聚区</w:t>
      </w:r>
    </w:p>
    <w:p w:rsidR="000816CE" w:rsidRDefault="00FC7BEB">
      <w:pPr>
        <w:ind w:firstLine="640"/>
      </w:pPr>
      <w:r>
        <w:rPr>
          <w:rFonts w:hint="eastAsia"/>
        </w:rPr>
        <w:t>聚焦于服务供给型平台经济产业园建设，充分利用莆田自身政策优势，吸引国内外巨头企业形成稳定合作，优化本地资源配置、促进跨界融通发展，推动产业持续创新和升级，加快构建现代平台服务产业体系，助力经济发展迈上新台阶，</w:t>
      </w:r>
    </w:p>
    <w:p w:rsidR="000816CE" w:rsidRDefault="00FC7BEB" w:rsidP="006C0D30">
      <w:pPr>
        <w:ind w:firstLine="640"/>
        <w:rPr>
          <w:b/>
          <w:bCs/>
        </w:rPr>
      </w:pPr>
      <w:r>
        <w:rPr>
          <w:rFonts w:hint="eastAsia"/>
          <w:b/>
          <w:bCs/>
        </w:rPr>
        <w:t>6.</w:t>
      </w:r>
      <w:r>
        <w:rPr>
          <w:rFonts w:hint="eastAsia"/>
          <w:b/>
          <w:bCs/>
        </w:rPr>
        <w:t>健康养老集聚区</w:t>
      </w:r>
    </w:p>
    <w:p w:rsidR="000816CE" w:rsidRDefault="00FC7BEB">
      <w:pPr>
        <w:ind w:firstLine="640"/>
      </w:pPr>
      <w:r>
        <w:rPr>
          <w:rFonts w:hint="eastAsia"/>
        </w:rPr>
        <w:t>紧密衔接《健康莆田</w:t>
      </w:r>
      <w:r>
        <w:rPr>
          <w:rFonts w:hint="eastAsia"/>
        </w:rPr>
        <w:t>2030</w:t>
      </w:r>
      <w:r>
        <w:rPr>
          <w:rFonts w:hint="eastAsia"/>
        </w:rPr>
        <w:t>行动计划》，依托莆田地域、环境优势，在沿海、山脉以及较为成熟的旅游景</w:t>
      </w:r>
      <w:r>
        <w:rPr>
          <w:rFonts w:hint="eastAsia"/>
        </w:rPr>
        <w:t>点等地区建造高水</w:t>
      </w:r>
      <w:r>
        <w:rPr>
          <w:rFonts w:hint="eastAsia"/>
        </w:rPr>
        <w:lastRenderedPageBreak/>
        <w:t>平康养集中区。将养老服务、医疗保健、健康管理、养生康复、健身休闲等融于一体，对全年龄段群众都能提供具有丰富性、针对性、独特性的康养服务。</w:t>
      </w:r>
    </w:p>
    <w:p w:rsidR="000816CE" w:rsidRDefault="00FC7BEB" w:rsidP="006C0D30">
      <w:pPr>
        <w:ind w:firstLine="640"/>
        <w:rPr>
          <w:b/>
          <w:bCs/>
        </w:rPr>
      </w:pPr>
      <w:r>
        <w:rPr>
          <w:rFonts w:hint="eastAsia"/>
          <w:b/>
          <w:bCs/>
        </w:rPr>
        <w:t>7.</w:t>
      </w:r>
      <w:r>
        <w:rPr>
          <w:rFonts w:hint="eastAsia"/>
          <w:b/>
          <w:bCs/>
        </w:rPr>
        <w:t>总部经济集聚区</w:t>
      </w:r>
    </w:p>
    <w:p w:rsidR="000816CE" w:rsidRDefault="00FC7BEB">
      <w:pPr>
        <w:ind w:firstLine="640"/>
      </w:pPr>
      <w:r>
        <w:rPr>
          <w:rFonts w:hint="eastAsia"/>
        </w:rPr>
        <w:t>按照产业类型引进一批全球服务业跨国公司，国内大型企业集团、行业龙头企业集中落地于具有完备基础设施、公共配套的楼宇资源丰富区域，形成经济功能和产业体系强核心的先导示范区，打造高质量发展“强引擎”。</w:t>
      </w:r>
    </w:p>
    <w:p w:rsidR="000816CE" w:rsidRDefault="00FC7BEB" w:rsidP="006C0D30">
      <w:pPr>
        <w:pStyle w:val="2"/>
        <w:spacing w:before="156" w:after="156"/>
        <w:ind w:firstLine="640"/>
        <w:rPr>
          <w:rFonts w:hint="default"/>
        </w:rPr>
      </w:pPr>
      <w:bookmarkStart w:id="32" w:name="_Toc10472"/>
      <w:r>
        <w:t>（四）推进对外开放，打造高质开放平台</w:t>
      </w:r>
      <w:bookmarkEnd w:id="32"/>
    </w:p>
    <w:p w:rsidR="000816CE" w:rsidRDefault="00FC7BEB">
      <w:pPr>
        <w:tabs>
          <w:tab w:val="left" w:pos="2025"/>
        </w:tabs>
        <w:ind w:firstLine="640"/>
      </w:pPr>
      <w:r>
        <w:rPr>
          <w:rFonts w:eastAsia="仿宋_GB2312"/>
        </w:rPr>
        <w:t>响应国家对外开放战略布局，</w:t>
      </w:r>
      <w:r>
        <w:rPr>
          <w:rFonts w:eastAsia="仿宋_GB2312"/>
          <w:bCs/>
        </w:rPr>
        <w:t>进一步健全开放型经济新体制，</w:t>
      </w:r>
      <w:r>
        <w:rPr>
          <w:rFonts w:eastAsia="仿宋_GB2312"/>
        </w:rPr>
        <w:t>实施更大范围、更宽领域、更深层次对外开放，打造高质量开放平台，争创国际合作和竞争新优势。</w:t>
      </w:r>
    </w:p>
    <w:p w:rsidR="000816CE" w:rsidRDefault="00FC7BEB" w:rsidP="006C0D30">
      <w:pPr>
        <w:ind w:firstLine="640"/>
        <w:rPr>
          <w:b/>
          <w:bCs/>
        </w:rPr>
      </w:pPr>
      <w:r>
        <w:rPr>
          <w:rFonts w:hint="eastAsia"/>
          <w:b/>
          <w:bCs/>
        </w:rPr>
        <w:t>1.</w:t>
      </w:r>
      <w:r>
        <w:rPr>
          <w:rFonts w:hint="eastAsia"/>
          <w:b/>
          <w:bCs/>
        </w:rPr>
        <w:t>培育引进开放型经济主体，营造开放型经济环境</w:t>
      </w:r>
    </w:p>
    <w:p w:rsidR="000816CE" w:rsidRDefault="00FC7BEB">
      <w:pPr>
        <w:ind w:firstLine="640"/>
        <w:rPr>
          <w:rFonts w:eastAsia="仿宋_GB2312"/>
        </w:rPr>
      </w:pPr>
      <w:r>
        <w:rPr>
          <w:rFonts w:ascii="仿宋" w:hAnsi="仿宋" w:cs="仿宋" w:hint="eastAsia"/>
        </w:rPr>
        <w:t>培育外贸竞争新优势，加快外贸转型升级，鼓励有条件的企业开展技术引进、技术更新和“走出去”，加快培育出口竞争新优势，借助“互联网</w:t>
      </w:r>
      <w:r>
        <w:rPr>
          <w:rFonts w:ascii="仿宋" w:hAnsi="仿宋" w:cs="仿宋" w:hint="eastAsia"/>
        </w:rPr>
        <w:t>+</w:t>
      </w:r>
      <w:r>
        <w:rPr>
          <w:rFonts w:ascii="仿宋" w:hAnsi="仿宋" w:cs="仿宋" w:hint="eastAsia"/>
        </w:rPr>
        <w:t>”，大力发展跨境电子商务，培</w:t>
      </w:r>
      <w:r>
        <w:rPr>
          <w:rFonts w:eastAsia="仿宋_GB2312"/>
        </w:rPr>
        <w:t>育外贸新业态。</w:t>
      </w:r>
      <w:r>
        <w:rPr>
          <w:rFonts w:eastAsia="仿宋_GB2312" w:hint="eastAsia"/>
        </w:rPr>
        <w:t>提升利用外资质量效益，</w:t>
      </w:r>
      <w:r>
        <w:rPr>
          <w:rFonts w:eastAsia="仿宋_GB2312"/>
        </w:rPr>
        <w:t>在增值电信、软件服务、金融服务、文</w:t>
      </w:r>
      <w:r>
        <w:rPr>
          <w:rFonts w:eastAsia="仿宋_GB2312"/>
        </w:rPr>
        <w:lastRenderedPageBreak/>
        <w:t>化创意、健康养老等服务贸易领域实施精准招商，大力引进世界</w:t>
      </w:r>
      <w:r>
        <w:rPr>
          <w:rFonts w:eastAsia="仿宋_GB2312"/>
        </w:rPr>
        <w:t>500</w:t>
      </w:r>
      <w:r>
        <w:rPr>
          <w:rFonts w:eastAsia="仿宋_GB2312"/>
        </w:rPr>
        <w:t>强、台湾百大和行业龙头企业。深化通关一体化改革，</w:t>
      </w:r>
      <w:r>
        <w:rPr>
          <w:rFonts w:eastAsia="仿宋_GB2312" w:hint="eastAsia"/>
        </w:rPr>
        <w:t>提高通关便利化水平，</w:t>
      </w:r>
      <w:r>
        <w:rPr>
          <w:rFonts w:eastAsia="仿宋_GB2312"/>
        </w:rPr>
        <w:t>打造高水平开放的国</w:t>
      </w:r>
      <w:r>
        <w:rPr>
          <w:rFonts w:eastAsia="仿宋_GB2312"/>
        </w:rPr>
        <w:t>际合作新平台。</w:t>
      </w:r>
    </w:p>
    <w:p w:rsidR="000816CE" w:rsidRDefault="00FC7BEB" w:rsidP="006C0D30">
      <w:pPr>
        <w:ind w:firstLine="640"/>
        <w:rPr>
          <w:b/>
          <w:bCs/>
        </w:rPr>
      </w:pPr>
      <w:r>
        <w:rPr>
          <w:rFonts w:hint="eastAsia"/>
          <w:b/>
          <w:bCs/>
        </w:rPr>
        <w:t>2.</w:t>
      </w:r>
      <w:r>
        <w:rPr>
          <w:rFonts w:hint="eastAsia"/>
          <w:b/>
          <w:bCs/>
        </w:rPr>
        <w:t>深度融入“海丝”核心区创建，完善市场多元化布局</w:t>
      </w:r>
    </w:p>
    <w:p w:rsidR="000816CE" w:rsidRDefault="00FC7BEB">
      <w:pPr>
        <w:ind w:firstLine="640"/>
        <w:rPr>
          <w:rFonts w:eastAsia="仿宋_GB2312"/>
          <w:bCs/>
        </w:rPr>
      </w:pPr>
      <w:r>
        <w:rPr>
          <w:rFonts w:hint="eastAsia"/>
        </w:rPr>
        <w:t>加强经贸合作，实施“走出去”战略，加强对外服务平台及服务贸易市场的建设，支持境内外企业、行业协会开展合作、创新合作模式。积极</w:t>
      </w:r>
      <w:r>
        <w:rPr>
          <w:rFonts w:ascii="仿宋" w:hAnsi="仿宋" w:cs="仿宋" w:hint="eastAsia"/>
          <w:bCs/>
        </w:rPr>
        <w:t>参与“丝路海运”、“丝路飞翔”、“数字丝路”等重点工程建设，从海、陆、空、网四个方面拓展“海丝”沿线国家</w:t>
      </w:r>
      <w:r>
        <w:rPr>
          <w:rFonts w:ascii="仿宋" w:hAnsi="仿宋" w:cs="仿宋" w:hint="eastAsia"/>
        </w:rPr>
        <w:t>互联互通。推进资金融通，</w:t>
      </w:r>
      <w:r>
        <w:rPr>
          <w:rFonts w:ascii="仿宋" w:hAnsi="仿宋" w:cs="仿宋" w:hint="eastAsia"/>
          <w:bCs/>
        </w:rPr>
        <w:t>深化金融改革创新，为企业和项目提供多元化的融资、避险和增值服务。深化人文交流，把传承和弘扬妈祖文化融入“海丝”建设，加快世界妈祖文化</w:t>
      </w:r>
      <w:r>
        <w:rPr>
          <w:rFonts w:eastAsia="仿宋_GB2312" w:hint="eastAsia"/>
          <w:bCs/>
        </w:rPr>
        <w:t>中心建设，打造国际化对外开放窗口。</w:t>
      </w:r>
    </w:p>
    <w:p w:rsidR="000816CE" w:rsidRDefault="00FC7BEB" w:rsidP="006C0D30">
      <w:pPr>
        <w:ind w:firstLine="640"/>
        <w:rPr>
          <w:b/>
          <w:bCs/>
        </w:rPr>
      </w:pPr>
      <w:r>
        <w:rPr>
          <w:rFonts w:hint="eastAsia"/>
          <w:b/>
          <w:bCs/>
        </w:rPr>
        <w:t>3.</w:t>
      </w:r>
      <w:r>
        <w:rPr>
          <w:rFonts w:hint="eastAsia"/>
          <w:b/>
          <w:bCs/>
        </w:rPr>
        <w:t>推动莆港澳台高层次合</w:t>
      </w:r>
      <w:r>
        <w:rPr>
          <w:rFonts w:hint="eastAsia"/>
          <w:b/>
          <w:bCs/>
        </w:rPr>
        <w:t>作，实现高质量共同发展</w:t>
      </w:r>
    </w:p>
    <w:p w:rsidR="000816CE" w:rsidRDefault="00FC7BEB">
      <w:pPr>
        <w:tabs>
          <w:tab w:val="left" w:pos="4425"/>
        </w:tabs>
        <w:ind w:firstLine="640"/>
      </w:pPr>
      <w:r>
        <w:rPr>
          <w:rFonts w:eastAsia="仿宋_GB2312" w:hint="eastAsia"/>
        </w:rPr>
        <w:t>深化对台跨境电商交流合作，推动建设两岸电子商务枢纽；充分发挥妈祖文化作用，深化莆台文化交流，打造文化精品项目。建立健全对台引才用才政策，促进社会各领域交融交往。</w:t>
      </w:r>
      <w:r>
        <w:rPr>
          <w:rFonts w:eastAsia="仿宋_GB2312"/>
          <w:szCs w:val="40"/>
        </w:rPr>
        <w:t>持续拓展莆港澳</w:t>
      </w:r>
      <w:r>
        <w:rPr>
          <w:rFonts w:eastAsia="仿宋_GB2312" w:hint="eastAsia"/>
          <w:szCs w:val="40"/>
        </w:rPr>
        <w:t>在金融、物流、旅游、会展、文创等领域的</w:t>
      </w:r>
      <w:r>
        <w:rPr>
          <w:rFonts w:eastAsia="仿宋_GB2312"/>
          <w:szCs w:val="40"/>
        </w:rPr>
        <w:t>合作，</w:t>
      </w:r>
      <w:r>
        <w:rPr>
          <w:rFonts w:eastAsia="仿宋_GB2312"/>
        </w:rPr>
        <w:t>继续落实</w:t>
      </w:r>
      <w:r>
        <w:rPr>
          <w:rFonts w:eastAsia="仿宋_GB2312"/>
          <w:szCs w:val="40"/>
        </w:rPr>
        <w:t>内地与香港、澳门关于建立更紧密经贸关系的安排（</w:t>
      </w:r>
      <w:r>
        <w:rPr>
          <w:rFonts w:eastAsia="仿宋_GB2312"/>
          <w:szCs w:val="40"/>
        </w:rPr>
        <w:t>CEPA</w:t>
      </w:r>
      <w:r>
        <w:rPr>
          <w:rFonts w:eastAsia="仿宋_GB2312"/>
          <w:szCs w:val="40"/>
        </w:rPr>
        <w:t>）</w:t>
      </w:r>
      <w:r>
        <w:rPr>
          <w:rFonts w:ascii="仿宋" w:hAnsi="仿宋" w:cs="仿宋" w:hint="eastAsia"/>
          <w:bCs/>
        </w:rPr>
        <w:t>。</w:t>
      </w:r>
      <w:r>
        <w:rPr>
          <w:rFonts w:eastAsia="仿宋_GB2312"/>
          <w:szCs w:val="40"/>
        </w:rPr>
        <w:t>积极做好新时期侨务工作，</w:t>
      </w:r>
      <w:r>
        <w:rPr>
          <w:rFonts w:eastAsia="仿宋_GB2312"/>
          <w:bCs/>
        </w:rPr>
        <w:t>协助</w:t>
      </w:r>
      <w:r>
        <w:rPr>
          <w:rFonts w:eastAsia="仿宋_GB2312" w:hint="eastAsia"/>
          <w:bCs/>
        </w:rPr>
        <w:t>莆田</w:t>
      </w:r>
      <w:r>
        <w:rPr>
          <w:rFonts w:eastAsia="仿宋_GB2312"/>
          <w:bCs/>
        </w:rPr>
        <w:t>企业开拓海外市场，打造全</w:t>
      </w:r>
      <w:r>
        <w:rPr>
          <w:rFonts w:eastAsia="仿宋_GB2312"/>
          <w:bCs/>
        </w:rPr>
        <w:lastRenderedPageBreak/>
        <w:t>球莆商经贸协作网络。</w:t>
      </w:r>
      <w:r>
        <w:rPr>
          <w:rFonts w:eastAsia="仿宋_GB2312" w:hint="eastAsia"/>
          <w:bCs/>
        </w:rPr>
        <w:t>健全交流合作机制，进一步完善莆港、莆澳定期交流机制，加强与港澳投资贸易促进机构联系交流，</w:t>
      </w:r>
      <w:r>
        <w:rPr>
          <w:rFonts w:eastAsia="仿宋_GB2312"/>
          <w:bCs/>
        </w:rPr>
        <w:t>持续拓展</w:t>
      </w:r>
      <w:r>
        <w:rPr>
          <w:rFonts w:eastAsia="仿宋_GB2312" w:hint="eastAsia"/>
          <w:bCs/>
        </w:rPr>
        <w:t>“</w:t>
      </w:r>
      <w:r>
        <w:rPr>
          <w:rFonts w:eastAsia="仿宋_GB2312"/>
          <w:bCs/>
        </w:rPr>
        <w:t>朋友圈</w:t>
      </w:r>
      <w:r>
        <w:rPr>
          <w:rFonts w:eastAsia="仿宋_GB2312" w:hint="eastAsia"/>
          <w:bCs/>
        </w:rPr>
        <w:t>”</w:t>
      </w:r>
      <w:r>
        <w:rPr>
          <w:rFonts w:eastAsia="仿宋_GB2312"/>
          <w:bCs/>
        </w:rPr>
        <w:t>。</w:t>
      </w:r>
    </w:p>
    <w:p w:rsidR="000816CE" w:rsidRDefault="00FC7BEB">
      <w:pPr>
        <w:spacing w:before="156" w:after="156"/>
        <w:ind w:firstLine="640"/>
      </w:pPr>
      <w:r>
        <w:rPr>
          <w:rFonts w:hint="eastAsia"/>
        </w:rPr>
        <w:br w:type="page"/>
      </w:r>
    </w:p>
    <w:p w:rsidR="000816CE" w:rsidRDefault="00FC7BEB">
      <w:pPr>
        <w:pStyle w:val="1"/>
        <w:spacing w:before="156" w:after="156"/>
      </w:pPr>
      <w:bookmarkStart w:id="33" w:name="_Toc31369"/>
      <w:r>
        <w:rPr>
          <w:rFonts w:hint="eastAsia"/>
        </w:rPr>
        <w:lastRenderedPageBreak/>
        <w:t>第七章</w:t>
      </w:r>
      <w:r>
        <w:rPr>
          <w:rFonts w:hint="eastAsia"/>
        </w:rPr>
        <w:t xml:space="preserve"> </w:t>
      </w:r>
      <w:r>
        <w:rPr>
          <w:rFonts w:hint="eastAsia"/>
        </w:rPr>
        <w:t>保障措</w:t>
      </w:r>
      <w:r>
        <w:rPr>
          <w:rFonts w:hint="eastAsia"/>
        </w:rPr>
        <w:t>施</w:t>
      </w:r>
      <w:bookmarkEnd w:id="33"/>
    </w:p>
    <w:p w:rsidR="000816CE" w:rsidRDefault="00FC7BEB" w:rsidP="006C0D30">
      <w:pPr>
        <w:pStyle w:val="2"/>
        <w:spacing w:before="156" w:after="156"/>
        <w:ind w:firstLine="640"/>
        <w:rPr>
          <w:rFonts w:hint="default"/>
        </w:rPr>
      </w:pPr>
      <w:bookmarkStart w:id="34" w:name="_Toc22330"/>
      <w:r>
        <w:t>（一）体制保障</w:t>
      </w:r>
      <w:bookmarkEnd w:id="34"/>
    </w:p>
    <w:p w:rsidR="000816CE" w:rsidRDefault="00FC7BEB">
      <w:pPr>
        <w:ind w:firstLine="640"/>
        <w:rPr>
          <w:color w:val="212529"/>
          <w:shd w:val="clear" w:color="auto" w:fill="FFFFFF"/>
        </w:rPr>
      </w:pPr>
      <w:r>
        <w:rPr>
          <w:color w:val="212529"/>
          <w:shd w:val="clear" w:color="auto" w:fill="FFFFFF"/>
        </w:rPr>
        <w:t>加快推进服务领域各项制度改革创新，在降低市场准入、完善税收征管制度、加快土地转型利用、推进贸易便利化等关键领域和薄弱环节重点突破，形成有利于服务经济发展的制度环境。深化行政审批制度改革，进一步减少或取消服务业重点领域前置审批，推进审批后监管标准规范制度建设。加强对</w:t>
      </w:r>
      <w:r>
        <w:rPr>
          <w:rFonts w:hint="eastAsia"/>
          <w:color w:val="212529"/>
          <w:shd w:val="clear" w:color="auto" w:fill="FFFFFF"/>
        </w:rPr>
        <w:t>现代</w:t>
      </w:r>
      <w:r>
        <w:rPr>
          <w:color w:val="212529"/>
          <w:shd w:val="clear" w:color="auto" w:fill="FFFFFF"/>
        </w:rPr>
        <w:t>服务业发展战略、政策、标准等制定和实施，强化公共服务、市场监管等职责。</w:t>
      </w:r>
      <w:r>
        <w:rPr>
          <w:rFonts w:hint="eastAsia"/>
          <w:color w:val="212529"/>
          <w:shd w:val="clear" w:color="auto" w:fill="FFFFFF"/>
        </w:rPr>
        <w:t>建立现代服务业发展指标体系，定期评估主要指标和重点任务推进情况，评估推进效果并及时完善。</w:t>
      </w:r>
    </w:p>
    <w:p w:rsidR="000816CE" w:rsidRDefault="00FC7BEB">
      <w:pPr>
        <w:ind w:firstLine="640"/>
        <w:rPr>
          <w:color w:val="212529"/>
          <w:shd w:val="clear" w:color="auto" w:fill="FFFFFF"/>
        </w:rPr>
      </w:pPr>
      <w:r>
        <w:rPr>
          <w:rFonts w:hint="eastAsia"/>
          <w:color w:val="212529"/>
          <w:shd w:val="clear" w:color="auto" w:fill="FFFFFF"/>
        </w:rPr>
        <w:t>建立督导推进机制，将各项任务落实到有关部门，并通报推进情况。促进服务业管理机制创新。按照打造现代服务经济为主产业结构的要求，强化市发展服务业领导小组的组织领导和统筹协调功能，完善职能设置，增强人员配备，提高行政效能。改进和完善现代服务业考核制度。完善以科学发展观为导向的考核评价体系，建立统一标准、分类考核的制度，使目标任务下达和考</w:t>
      </w:r>
      <w:r>
        <w:rPr>
          <w:rFonts w:hint="eastAsia"/>
          <w:color w:val="212529"/>
          <w:shd w:val="clear" w:color="auto" w:fill="FFFFFF"/>
        </w:rPr>
        <w:lastRenderedPageBreak/>
        <w:t>核更加科学、规范和高效，确保服务业发展各项工作落到实处。加强统计监测和监督检查机制。建立健全生产性服务业、现代服务业集聚区、文化创意等现代服务业重点领域的统计方法和统计制度，全面监</w:t>
      </w:r>
      <w:r>
        <w:rPr>
          <w:rFonts w:hint="eastAsia"/>
          <w:color w:val="212529"/>
          <w:shd w:val="clear" w:color="auto" w:fill="FFFFFF"/>
        </w:rPr>
        <w:t>控掌握产业发展、重点项目和重点任务情况。</w:t>
      </w:r>
    </w:p>
    <w:p w:rsidR="000816CE" w:rsidRDefault="000816CE">
      <w:pPr>
        <w:spacing w:before="156" w:after="156"/>
        <w:ind w:firstLine="640"/>
      </w:pPr>
    </w:p>
    <w:p w:rsidR="000816CE" w:rsidRDefault="000816CE">
      <w:pPr>
        <w:spacing w:before="156" w:after="156"/>
        <w:ind w:firstLine="640"/>
      </w:pPr>
    </w:p>
    <w:p w:rsidR="000816CE" w:rsidRDefault="00FC7BEB" w:rsidP="006C0D30">
      <w:pPr>
        <w:pStyle w:val="2"/>
        <w:spacing w:before="156" w:after="156"/>
        <w:ind w:firstLine="640"/>
        <w:rPr>
          <w:rFonts w:hint="default"/>
        </w:rPr>
      </w:pPr>
      <w:bookmarkStart w:id="35" w:name="_Toc22624"/>
      <w:r>
        <w:t>（二）要素保障</w:t>
      </w:r>
      <w:bookmarkEnd w:id="35"/>
    </w:p>
    <w:p w:rsidR="000816CE" w:rsidRDefault="00FC7BEB">
      <w:pPr>
        <w:ind w:firstLine="640"/>
        <w:rPr>
          <w:color w:val="212529"/>
          <w:shd w:val="clear" w:color="auto" w:fill="FFFFFF"/>
        </w:rPr>
      </w:pPr>
      <w:r>
        <w:rPr>
          <w:rFonts w:hint="eastAsia"/>
        </w:rPr>
        <w:t>加强土地要素支撑</w:t>
      </w:r>
      <w:r>
        <w:t>，支持土地复合利用，加强地下空间开发利用，推动低效用地再开发。支持采用先租后让、租让结合、长期租赁等方式，保障</w:t>
      </w:r>
      <w:r>
        <w:rPr>
          <w:rFonts w:hint="eastAsia"/>
        </w:rPr>
        <w:t>现代服务业</w:t>
      </w:r>
      <w:r>
        <w:t>用地需求。</w:t>
      </w:r>
      <w:r>
        <w:rPr>
          <w:rFonts w:hint="eastAsia"/>
          <w:color w:val="212529"/>
          <w:shd w:val="clear" w:color="auto" w:fill="FFFFFF"/>
        </w:rPr>
        <w:t>科学调整土地供应结构，按年度有序增加服务业发展用地计划，合理安排服务业发展用地空间。“三旧”改造中所腾出的城市建设用地，在保障国家、市上重点发展项目的前提下，适当向服务业倾斜。实施差别化土地供应管理，依据项目与产业导向的契合度制定差别化地价政策，按照不同产业的类型和特点灵活确定用地出让年限，根据项目建设情况和运行情况进行分阶段验收考核，促进土地要素向优质企</w:t>
      </w:r>
      <w:r>
        <w:rPr>
          <w:rFonts w:hint="eastAsia"/>
          <w:color w:val="212529"/>
          <w:shd w:val="clear" w:color="auto" w:fill="FFFFFF"/>
        </w:rPr>
        <w:lastRenderedPageBreak/>
        <w:t>业和优质项目集聚。</w:t>
      </w:r>
    </w:p>
    <w:p w:rsidR="000816CE" w:rsidRDefault="00FC7BEB">
      <w:pPr>
        <w:ind w:firstLine="640"/>
        <w:rPr>
          <w:color w:val="212529"/>
          <w:shd w:val="clear" w:color="auto" w:fill="FFFFFF"/>
        </w:rPr>
      </w:pPr>
      <w:r>
        <w:rPr>
          <w:rFonts w:hint="eastAsia"/>
        </w:rPr>
        <w:t>发挥政府财政的主导作用，建立政府投入、民间资金、社会资金、银行贷款等相结合的现代服务业投入机制。</w:t>
      </w:r>
      <w:r>
        <w:rPr>
          <w:color w:val="212529"/>
          <w:shd w:val="clear" w:color="auto" w:fill="FFFFFF"/>
        </w:rPr>
        <w:t>鼓励商业银行开发适合服务业特点的各类金</w:t>
      </w:r>
      <w:r>
        <w:rPr>
          <w:color w:val="212529"/>
          <w:shd w:val="clear" w:color="auto" w:fill="FFFFFF"/>
        </w:rPr>
        <w:t>融产品和服务，积极发展商圈融资、供应链融资等融资方式。</w:t>
      </w:r>
      <w:r>
        <w:rPr>
          <w:rFonts w:hint="eastAsia"/>
          <w:color w:val="212529"/>
          <w:shd w:val="clear" w:color="auto" w:fill="FFFFFF"/>
        </w:rPr>
        <w:t>加快落实服务业提升发展产业基金扶持政策。积极引入社会资本，发挥财政杠杆效应，合力打造一批服务业产业基金，注入服务业新兴领域。在公共服务领域试点运用政府与社会资本合作（</w:t>
      </w:r>
      <w:r>
        <w:rPr>
          <w:rFonts w:hint="eastAsia"/>
          <w:color w:val="212529"/>
          <w:shd w:val="clear" w:color="auto" w:fill="FFFFFF"/>
        </w:rPr>
        <w:t>PPP</w:t>
      </w:r>
      <w:r>
        <w:rPr>
          <w:rFonts w:hint="eastAsia"/>
          <w:color w:val="212529"/>
          <w:shd w:val="clear" w:color="auto" w:fill="FFFFFF"/>
        </w:rPr>
        <w:t>）模式，激发民间投资活力。鼓励企业利用资本市场实施兼并重组和股份制改造，加快新三板、沪深主板、科创板挂牌上市步伐。</w:t>
      </w:r>
    </w:p>
    <w:p w:rsidR="000816CE" w:rsidRDefault="000816CE">
      <w:pPr>
        <w:spacing w:before="156" w:after="156"/>
        <w:ind w:firstLine="640"/>
      </w:pPr>
    </w:p>
    <w:p w:rsidR="000816CE" w:rsidRDefault="000816CE">
      <w:pPr>
        <w:ind w:firstLine="640"/>
      </w:pPr>
    </w:p>
    <w:p w:rsidR="000816CE" w:rsidRDefault="00FC7BEB" w:rsidP="006C0D30">
      <w:pPr>
        <w:pStyle w:val="2"/>
        <w:spacing w:before="156" w:after="156"/>
        <w:ind w:firstLine="640"/>
        <w:rPr>
          <w:rFonts w:hint="default"/>
        </w:rPr>
      </w:pPr>
      <w:bookmarkStart w:id="36" w:name="_Toc11121"/>
      <w:r>
        <w:t>（三）组织保障</w:t>
      </w:r>
      <w:bookmarkEnd w:id="36"/>
    </w:p>
    <w:p w:rsidR="000816CE" w:rsidRDefault="00FC7BEB">
      <w:pPr>
        <w:ind w:firstLine="640"/>
      </w:pPr>
      <w:r>
        <w:rPr>
          <w:rFonts w:hint="eastAsia"/>
        </w:rPr>
        <w:t>建立健全各级党委调研、决策、实施、考核、监督、奖惩等一整套管用的组织领导体系，规范提升党委领导现代服务业发展的工作水平。市政府建立由分管市领导牵头、政</w:t>
      </w:r>
      <w:r>
        <w:rPr>
          <w:rFonts w:hint="eastAsia"/>
        </w:rPr>
        <w:t>府有关部门参加</w:t>
      </w:r>
      <w:r>
        <w:rPr>
          <w:rFonts w:hint="eastAsia"/>
        </w:rPr>
        <w:lastRenderedPageBreak/>
        <w:t>的工作协调机制，加强对全市现代服务业发展重大问题研究、重要政策制定、重点项目推进的统筹指导。各县（区）政府要建立健全相应的工作机制，进一步加强服务业统筹规划、综合协调，及时研究解决服务业发展和改革中的重大问题，细化政策措施，科学组织推进。</w:t>
      </w:r>
    </w:p>
    <w:p w:rsidR="000816CE" w:rsidRDefault="00FC7BEB">
      <w:pPr>
        <w:ind w:firstLine="640"/>
      </w:pPr>
      <w:r>
        <w:rPr>
          <w:rFonts w:hint="eastAsia"/>
          <w:color w:val="212529"/>
          <w:shd w:val="clear" w:color="auto" w:fill="FFFFFF"/>
        </w:rPr>
        <w:t>做好服务业各个专项规划与本规划之间的衔接，确保各类规划的协调。健全服务业发展目标任务的统筹协调、跟踪督查和考核机制，对本规划确定的主要目标和重大任务，按年度分解落实到具体部门和各</w:t>
      </w:r>
      <w:r>
        <w:rPr>
          <w:rFonts w:hint="eastAsia"/>
        </w:rPr>
        <w:t>县（区）</w:t>
      </w:r>
      <w:r>
        <w:rPr>
          <w:rFonts w:hint="eastAsia"/>
          <w:color w:val="212529"/>
          <w:shd w:val="clear" w:color="auto" w:fill="FFFFFF"/>
        </w:rPr>
        <w:t>，明确牵头单位和工作责任。做好规划年度考核和中期评估工作，检查规划落实情</w:t>
      </w:r>
      <w:r>
        <w:rPr>
          <w:rFonts w:hint="eastAsia"/>
          <w:color w:val="212529"/>
          <w:shd w:val="clear" w:color="auto" w:fill="FFFFFF"/>
        </w:rPr>
        <w:t>况，分析实施效果和存在问题，研究提出对策建议。</w:t>
      </w:r>
    </w:p>
    <w:p w:rsidR="000816CE" w:rsidRDefault="000816CE">
      <w:pPr>
        <w:ind w:firstLine="640"/>
        <w:rPr>
          <w:rFonts w:eastAsia="黑体"/>
          <w:bCs/>
          <w:color w:val="000000" w:themeColor="text1"/>
        </w:rPr>
        <w:sectPr w:rsidR="000816CE">
          <w:pgSz w:w="11906" w:h="16838"/>
          <w:pgMar w:top="1327" w:right="1519" w:bottom="1417" w:left="1463" w:header="851" w:footer="992" w:gutter="0"/>
          <w:cols w:space="720"/>
          <w:docGrid w:type="lines" w:linePitch="312"/>
        </w:sectPr>
      </w:pPr>
    </w:p>
    <w:p w:rsidR="000816CE" w:rsidRDefault="00FC7BEB">
      <w:pPr>
        <w:pStyle w:val="1"/>
        <w:spacing w:before="156" w:after="156"/>
      </w:pPr>
      <w:bookmarkStart w:id="37" w:name="_Toc6689"/>
      <w:r>
        <w:rPr>
          <w:rFonts w:hint="eastAsia"/>
        </w:rPr>
        <w:lastRenderedPageBreak/>
        <w:t>附件：莆田市“十四五”现代服务业重点建设项目表</w:t>
      </w:r>
      <w:bookmarkEnd w:id="37"/>
    </w:p>
    <w:tbl>
      <w:tblPr>
        <w:tblStyle w:val="ac"/>
        <w:tblW w:w="14147" w:type="dxa"/>
        <w:jc w:val="center"/>
        <w:tblLayout w:type="fixed"/>
        <w:tblLook w:val="04A0"/>
      </w:tblPr>
      <w:tblGrid>
        <w:gridCol w:w="732"/>
        <w:gridCol w:w="1432"/>
        <w:gridCol w:w="17"/>
        <w:gridCol w:w="1206"/>
        <w:gridCol w:w="5372"/>
        <w:gridCol w:w="1697"/>
        <w:gridCol w:w="1313"/>
        <w:gridCol w:w="1300"/>
        <w:gridCol w:w="31"/>
        <w:gridCol w:w="1047"/>
      </w:tblGrid>
      <w:tr w:rsidR="000816CE">
        <w:trPr>
          <w:trHeight w:val="539"/>
          <w:jc w:val="center"/>
        </w:trPr>
        <w:tc>
          <w:tcPr>
            <w:tcW w:w="732" w:type="dxa"/>
            <w:shd w:val="clear" w:color="auto" w:fill="DCE6F2" w:themeFill="accent1" w:themeFillTint="32"/>
            <w:vAlign w:val="center"/>
          </w:tcPr>
          <w:p w:rsidR="000816CE" w:rsidRDefault="00FC7BEB">
            <w:pPr>
              <w:spacing w:line="240" w:lineRule="auto"/>
              <w:ind w:firstLineChars="0" w:firstLine="0"/>
              <w:jc w:val="center"/>
              <w:rPr>
                <w:b/>
                <w:bCs/>
                <w:color w:val="000000" w:themeColor="text1"/>
                <w:sz w:val="24"/>
                <w:szCs w:val="24"/>
              </w:rPr>
            </w:pPr>
            <w:r>
              <w:rPr>
                <w:rFonts w:hint="eastAsia"/>
                <w:b/>
                <w:bCs/>
                <w:color w:val="000000" w:themeColor="text1"/>
                <w:sz w:val="24"/>
                <w:szCs w:val="24"/>
              </w:rPr>
              <w:t>序号</w:t>
            </w:r>
          </w:p>
        </w:tc>
        <w:tc>
          <w:tcPr>
            <w:tcW w:w="1449" w:type="dxa"/>
            <w:gridSpan w:val="2"/>
            <w:shd w:val="clear" w:color="auto" w:fill="DCE6F2" w:themeFill="accent1" w:themeFillTint="32"/>
            <w:vAlign w:val="center"/>
          </w:tcPr>
          <w:p w:rsidR="000816CE" w:rsidRDefault="00FC7BEB">
            <w:pPr>
              <w:spacing w:line="240" w:lineRule="auto"/>
              <w:ind w:firstLineChars="0" w:firstLine="0"/>
              <w:jc w:val="center"/>
              <w:rPr>
                <w:b/>
                <w:bCs/>
                <w:color w:val="000000" w:themeColor="text1"/>
                <w:sz w:val="24"/>
                <w:szCs w:val="24"/>
              </w:rPr>
            </w:pPr>
            <w:r>
              <w:rPr>
                <w:rFonts w:hint="eastAsia"/>
                <w:b/>
                <w:bCs/>
                <w:color w:val="000000" w:themeColor="text1"/>
                <w:sz w:val="24"/>
                <w:szCs w:val="24"/>
              </w:rPr>
              <w:t>项目名称</w:t>
            </w:r>
          </w:p>
        </w:tc>
        <w:tc>
          <w:tcPr>
            <w:tcW w:w="1206" w:type="dxa"/>
            <w:shd w:val="clear" w:color="auto" w:fill="DCE6F2" w:themeFill="accent1" w:themeFillTint="32"/>
            <w:vAlign w:val="center"/>
          </w:tcPr>
          <w:p w:rsidR="000816CE" w:rsidRDefault="00FC7BEB">
            <w:pPr>
              <w:spacing w:line="240" w:lineRule="auto"/>
              <w:ind w:firstLineChars="0" w:firstLine="0"/>
              <w:jc w:val="center"/>
              <w:rPr>
                <w:b/>
                <w:bCs/>
                <w:color w:val="000000" w:themeColor="text1"/>
                <w:sz w:val="24"/>
                <w:szCs w:val="24"/>
              </w:rPr>
            </w:pPr>
            <w:r>
              <w:rPr>
                <w:rFonts w:hint="eastAsia"/>
                <w:b/>
                <w:bCs/>
                <w:color w:val="000000" w:themeColor="text1"/>
                <w:sz w:val="24"/>
                <w:szCs w:val="24"/>
              </w:rPr>
              <w:t>所属区县</w:t>
            </w:r>
          </w:p>
        </w:tc>
        <w:tc>
          <w:tcPr>
            <w:tcW w:w="5372" w:type="dxa"/>
            <w:shd w:val="clear" w:color="auto" w:fill="DCE6F2" w:themeFill="accent1" w:themeFillTint="32"/>
            <w:vAlign w:val="center"/>
          </w:tcPr>
          <w:p w:rsidR="000816CE" w:rsidRDefault="00FC7BEB">
            <w:pPr>
              <w:spacing w:line="240" w:lineRule="auto"/>
              <w:ind w:firstLineChars="0" w:firstLine="0"/>
              <w:jc w:val="center"/>
              <w:rPr>
                <w:b/>
                <w:bCs/>
                <w:color w:val="000000" w:themeColor="text1"/>
                <w:sz w:val="24"/>
                <w:szCs w:val="24"/>
              </w:rPr>
            </w:pPr>
            <w:r>
              <w:rPr>
                <w:rFonts w:hint="eastAsia"/>
                <w:b/>
                <w:bCs/>
                <w:color w:val="000000" w:themeColor="text1"/>
                <w:sz w:val="24"/>
                <w:szCs w:val="24"/>
              </w:rPr>
              <w:t>主要建设内容</w:t>
            </w:r>
          </w:p>
        </w:tc>
        <w:tc>
          <w:tcPr>
            <w:tcW w:w="1697" w:type="dxa"/>
            <w:shd w:val="clear" w:color="auto" w:fill="DCE6F2" w:themeFill="accent1" w:themeFillTint="32"/>
            <w:vAlign w:val="center"/>
          </w:tcPr>
          <w:p w:rsidR="000816CE" w:rsidRDefault="00FC7BEB">
            <w:pPr>
              <w:spacing w:line="240" w:lineRule="auto"/>
              <w:ind w:firstLineChars="0" w:firstLine="0"/>
              <w:jc w:val="center"/>
              <w:rPr>
                <w:b/>
                <w:bCs/>
                <w:color w:val="000000" w:themeColor="text1"/>
                <w:sz w:val="24"/>
                <w:szCs w:val="24"/>
              </w:rPr>
            </w:pPr>
            <w:r>
              <w:rPr>
                <w:rFonts w:hint="eastAsia"/>
                <w:b/>
                <w:bCs/>
                <w:color w:val="000000" w:themeColor="text1"/>
                <w:sz w:val="24"/>
                <w:szCs w:val="24"/>
              </w:rPr>
              <w:t>总投资（万元）</w:t>
            </w:r>
          </w:p>
        </w:tc>
        <w:tc>
          <w:tcPr>
            <w:tcW w:w="1313" w:type="dxa"/>
            <w:shd w:val="clear" w:color="auto" w:fill="DCE6F2" w:themeFill="accent1" w:themeFillTint="32"/>
            <w:vAlign w:val="center"/>
          </w:tcPr>
          <w:p w:rsidR="000816CE" w:rsidRDefault="00FC7BEB">
            <w:pPr>
              <w:spacing w:line="240" w:lineRule="auto"/>
              <w:ind w:firstLineChars="0" w:firstLine="0"/>
              <w:jc w:val="center"/>
              <w:rPr>
                <w:b/>
                <w:bCs/>
                <w:color w:val="000000" w:themeColor="text1"/>
                <w:sz w:val="24"/>
                <w:szCs w:val="24"/>
              </w:rPr>
            </w:pPr>
            <w:r>
              <w:rPr>
                <w:rFonts w:hint="eastAsia"/>
                <w:b/>
                <w:bCs/>
                <w:color w:val="000000" w:themeColor="text1"/>
                <w:sz w:val="24"/>
                <w:szCs w:val="24"/>
              </w:rPr>
              <w:t>建设时间</w:t>
            </w:r>
          </w:p>
        </w:tc>
        <w:tc>
          <w:tcPr>
            <w:tcW w:w="1331" w:type="dxa"/>
            <w:gridSpan w:val="2"/>
            <w:shd w:val="clear" w:color="auto" w:fill="DCE6F2" w:themeFill="accent1" w:themeFillTint="32"/>
            <w:vAlign w:val="center"/>
          </w:tcPr>
          <w:p w:rsidR="000816CE" w:rsidRDefault="00FC7BEB">
            <w:pPr>
              <w:spacing w:line="240" w:lineRule="auto"/>
              <w:ind w:firstLineChars="0" w:firstLine="0"/>
              <w:jc w:val="center"/>
              <w:rPr>
                <w:b/>
                <w:bCs/>
                <w:color w:val="000000" w:themeColor="text1"/>
                <w:sz w:val="24"/>
                <w:szCs w:val="24"/>
              </w:rPr>
            </w:pPr>
            <w:r>
              <w:rPr>
                <w:rFonts w:hint="eastAsia"/>
                <w:b/>
                <w:bCs/>
                <w:color w:val="000000" w:themeColor="text1"/>
                <w:sz w:val="24"/>
                <w:szCs w:val="24"/>
              </w:rPr>
              <w:t>责任单位</w:t>
            </w:r>
          </w:p>
        </w:tc>
        <w:tc>
          <w:tcPr>
            <w:tcW w:w="1047" w:type="dxa"/>
            <w:shd w:val="clear" w:color="auto" w:fill="DCE6F2" w:themeFill="accent1" w:themeFillTint="32"/>
            <w:vAlign w:val="center"/>
          </w:tcPr>
          <w:p w:rsidR="000816CE" w:rsidRDefault="00FC7BEB">
            <w:pPr>
              <w:spacing w:line="240" w:lineRule="auto"/>
              <w:ind w:firstLineChars="0" w:firstLine="0"/>
              <w:jc w:val="center"/>
              <w:rPr>
                <w:b/>
                <w:bCs/>
                <w:color w:val="000000" w:themeColor="text1"/>
                <w:sz w:val="24"/>
                <w:szCs w:val="24"/>
              </w:rPr>
            </w:pPr>
            <w:r>
              <w:rPr>
                <w:rFonts w:hint="eastAsia"/>
                <w:b/>
                <w:bCs/>
                <w:color w:val="000000" w:themeColor="text1"/>
                <w:sz w:val="24"/>
                <w:szCs w:val="24"/>
              </w:rPr>
              <w:t>备注</w:t>
            </w:r>
          </w:p>
        </w:tc>
      </w:tr>
      <w:tr w:rsidR="000816CE">
        <w:trPr>
          <w:trHeight w:val="410"/>
          <w:jc w:val="center"/>
        </w:trPr>
        <w:tc>
          <w:tcPr>
            <w:tcW w:w="13100" w:type="dxa"/>
            <w:gridSpan w:val="9"/>
            <w:vAlign w:val="center"/>
          </w:tcPr>
          <w:p w:rsidR="000816CE" w:rsidRDefault="00FC7BEB">
            <w:pPr>
              <w:spacing w:line="240" w:lineRule="auto"/>
              <w:ind w:firstLineChars="0" w:firstLine="0"/>
              <w:jc w:val="left"/>
              <w:rPr>
                <w:color w:val="000000" w:themeColor="text1"/>
                <w:sz w:val="24"/>
                <w:szCs w:val="24"/>
              </w:rPr>
            </w:pPr>
            <w:r>
              <w:rPr>
                <w:rFonts w:hint="eastAsia"/>
                <w:b/>
                <w:bCs/>
                <w:color w:val="000000" w:themeColor="text1"/>
                <w:sz w:val="24"/>
                <w:szCs w:val="24"/>
              </w:rPr>
              <w:t>电子商务</w:t>
            </w:r>
          </w:p>
        </w:tc>
        <w:tc>
          <w:tcPr>
            <w:tcW w:w="1047" w:type="dxa"/>
            <w:vAlign w:val="center"/>
          </w:tcPr>
          <w:p w:rsidR="000816CE" w:rsidRDefault="000816CE">
            <w:pPr>
              <w:spacing w:line="240" w:lineRule="auto"/>
              <w:ind w:firstLineChars="0" w:firstLine="0"/>
              <w:jc w:val="center"/>
              <w:rPr>
                <w:b/>
                <w:bCs/>
                <w:color w:val="000000" w:themeColor="text1"/>
                <w:sz w:val="24"/>
                <w:szCs w:val="24"/>
              </w:rPr>
            </w:pP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京东（仙游）数字经济产业园</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项目分两期建设，一期建设</w:t>
            </w:r>
            <w:r>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个机柜规模的大数据中心、数字经济展示厅、</w:t>
            </w:r>
            <w:r>
              <w:rPr>
                <w:rFonts w:ascii="宋体" w:eastAsia="宋体" w:hAnsi="宋体" w:cs="宋体" w:hint="eastAsia"/>
                <w:color w:val="000000"/>
                <w:kern w:val="0"/>
                <w:sz w:val="24"/>
                <w:szCs w:val="24"/>
              </w:rPr>
              <w:t>15000</w:t>
            </w:r>
            <w:r>
              <w:rPr>
                <w:rFonts w:ascii="宋体" w:eastAsia="宋体" w:hAnsi="宋体" w:cs="宋体" w:hint="eastAsia"/>
                <w:color w:val="000000"/>
                <w:kern w:val="0"/>
                <w:sz w:val="24"/>
                <w:szCs w:val="24"/>
              </w:rPr>
              <w:t>平米的电商产业园、全球工艺美术品展示交易公共服务平台等；二期建设</w:t>
            </w:r>
            <w:r>
              <w:rPr>
                <w:rFonts w:ascii="宋体" w:eastAsia="宋体" w:hAnsi="宋体" w:cs="宋体" w:hint="eastAsia"/>
                <w:color w:val="000000"/>
                <w:kern w:val="0"/>
                <w:sz w:val="24"/>
                <w:szCs w:val="24"/>
              </w:rPr>
              <w:t>1000</w:t>
            </w:r>
            <w:r>
              <w:rPr>
                <w:rFonts w:ascii="宋体" w:eastAsia="宋体" w:hAnsi="宋体" w:cs="宋体" w:hint="eastAsia"/>
                <w:color w:val="000000"/>
                <w:kern w:val="0"/>
                <w:sz w:val="24"/>
                <w:szCs w:val="24"/>
              </w:rPr>
              <w:t>个柜规模的大数据中心、电商企业总部、产业研究院、新闻媒体中心、人才公寓等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439500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2018-2023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京东集团</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莆田秀屿区快递·电商园项目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建设电商服务和仓储、快递总部办公楼及配套设施</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240000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2019-2022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莆田海嘉置业有限公司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康之诚（莆田）食品电商城项目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投资、建设、经营食品电商城，作为百威东南销售有限公司的配套项目，业务范围包含电商总部、线下交易市场、仓储及冷链物流、员工公寓等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410"/>
          <w:jc w:val="center"/>
        </w:trPr>
        <w:tc>
          <w:tcPr>
            <w:tcW w:w="732"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w:t>
            </w:r>
          </w:p>
        </w:tc>
        <w:tc>
          <w:tcPr>
            <w:tcW w:w="1449"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洋西联发电商城城市购物广场</w:t>
            </w:r>
          </w:p>
        </w:tc>
        <w:tc>
          <w:tcPr>
            <w:tcW w:w="1206"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w:t>
            </w:r>
            <w:r>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万平方米，建设一座大型城市购物广场。</w:t>
            </w:r>
          </w:p>
        </w:tc>
        <w:tc>
          <w:tcPr>
            <w:tcW w:w="169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莆田联欣盛产业园开发有限公司</w:t>
            </w:r>
          </w:p>
        </w:tc>
        <w:tc>
          <w:tcPr>
            <w:tcW w:w="104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中国建材采集平台（采购宝）项目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总投资</w:t>
            </w:r>
            <w:r>
              <w:rPr>
                <w:rFonts w:ascii="宋体" w:eastAsia="宋体" w:hAnsi="宋体" w:cs="宋体" w:hint="eastAsia"/>
                <w:color w:val="000000"/>
                <w:kern w:val="0"/>
                <w:sz w:val="24"/>
                <w:szCs w:val="24"/>
              </w:rPr>
              <w:t>5000</w:t>
            </w:r>
            <w:r>
              <w:rPr>
                <w:rFonts w:ascii="宋体" w:eastAsia="宋体" w:hAnsi="宋体" w:cs="宋体" w:hint="eastAsia"/>
                <w:color w:val="000000"/>
                <w:kern w:val="0"/>
                <w:sz w:val="24"/>
                <w:szCs w:val="24"/>
              </w:rPr>
              <w:t>万元，开发建材为主要产品的“采购宝”平台，构建建筑装修等核心企业、一级供应商到</w:t>
            </w:r>
            <w:r>
              <w:rPr>
                <w:rFonts w:ascii="宋体" w:eastAsia="宋体" w:hAnsi="宋体" w:cs="宋体" w:hint="eastAsia"/>
                <w:color w:val="000000"/>
                <w:kern w:val="0"/>
                <w:sz w:val="24"/>
                <w:szCs w:val="24"/>
              </w:rPr>
              <w:t>N</w:t>
            </w:r>
            <w:r>
              <w:rPr>
                <w:rFonts w:ascii="宋体" w:eastAsia="宋体" w:hAnsi="宋体" w:cs="宋体" w:hint="eastAsia"/>
                <w:color w:val="000000"/>
                <w:kern w:val="0"/>
                <w:sz w:val="24"/>
                <w:szCs w:val="24"/>
              </w:rPr>
              <w:t>级供应商地材集中采购、交易、结算、金融等生态圈。</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2020-2021</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国家建筑材料展贸中心</w:t>
            </w:r>
          </w:p>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北京国建中材科技有限公司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莆田工艺美术城腾讯直播基地项目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利用黄石工艺美术城现有资源，搭建工艺美术产品腾讯直播基地，打开工艺美术产品直播营销、线上零售的渠道，带动工艺美术产业发展。</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腾讯集团</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7</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东海鞋服配送电子商务中心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利用现有鞋服下游产业链进行有机整合，形成电子商务中心，规划用地</w:t>
            </w:r>
            <w:r>
              <w:rPr>
                <w:rFonts w:ascii="宋体" w:eastAsia="宋体" w:hAnsi="宋体" w:cs="宋体" w:hint="eastAsia"/>
                <w:color w:val="000000"/>
                <w:kern w:val="0"/>
                <w:sz w:val="24"/>
                <w:szCs w:val="24"/>
              </w:rPr>
              <w:t>80</w:t>
            </w:r>
            <w:r>
              <w:rPr>
                <w:rFonts w:ascii="宋体" w:eastAsia="宋体" w:hAnsi="宋体" w:cs="宋体" w:hint="eastAsia"/>
                <w:color w:val="000000"/>
                <w:kern w:val="0"/>
                <w:sz w:val="24"/>
                <w:szCs w:val="24"/>
              </w:rPr>
              <w:t>亩。</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东海镇人民政府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shd w:val="clear" w:color="auto" w:fill="FFFF00"/>
            <w:vAlign w:val="center"/>
          </w:tcPr>
          <w:p w:rsidR="000816CE" w:rsidRDefault="00FC7BEB">
            <w:pPr>
              <w:widowControl/>
              <w:spacing w:line="240" w:lineRule="auto"/>
              <w:ind w:firstLineChars="0" w:firstLine="0"/>
              <w:jc w:val="center"/>
              <w:textAlignment w:val="center"/>
              <w:rPr>
                <w:color w:val="000000" w:themeColor="text1"/>
                <w:sz w:val="24"/>
                <w:szCs w:val="24"/>
              </w:rPr>
            </w:pPr>
            <w:r>
              <w:rPr>
                <w:rFonts w:ascii="宋体" w:eastAsia="宋体" w:hAnsi="宋体" w:cs="宋体" w:hint="eastAsia"/>
                <w:color w:val="000000"/>
                <w:kern w:val="0"/>
                <w:sz w:val="24"/>
                <w:szCs w:val="24"/>
              </w:rPr>
              <w:t>8</w:t>
            </w:r>
          </w:p>
        </w:tc>
        <w:tc>
          <w:tcPr>
            <w:tcW w:w="1449" w:type="dxa"/>
            <w:gridSpan w:val="2"/>
            <w:shd w:val="clear" w:color="auto" w:fill="FFFF00"/>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跨境电商</w:t>
            </w:r>
            <w:r>
              <w:rPr>
                <w:rFonts w:ascii="宋体" w:eastAsia="宋体" w:hAnsi="宋体" w:cs="宋体"/>
                <w:color w:val="000000"/>
                <w:kern w:val="0"/>
                <w:sz w:val="24"/>
                <w:szCs w:val="24"/>
              </w:rPr>
              <w:t>线上综合服务平台</w:t>
            </w:r>
          </w:p>
        </w:tc>
        <w:tc>
          <w:tcPr>
            <w:tcW w:w="1206" w:type="dxa"/>
            <w:shd w:val="clear" w:color="auto" w:fill="FFFF00"/>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5372" w:type="dxa"/>
            <w:shd w:val="clear" w:color="auto" w:fill="FFFF00"/>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FF0000"/>
                <w:kern w:val="0"/>
                <w:sz w:val="24"/>
                <w:szCs w:val="24"/>
              </w:rPr>
              <w:t>(</w:t>
            </w:r>
            <w:r>
              <w:rPr>
                <w:rFonts w:ascii="宋体" w:eastAsia="宋体" w:hAnsi="宋体" w:cs="宋体" w:hint="eastAsia"/>
                <w:color w:val="FF0000"/>
                <w:kern w:val="0"/>
                <w:sz w:val="24"/>
                <w:szCs w:val="24"/>
              </w:rPr>
              <w:t>待补充</w:t>
            </w:r>
            <w:r>
              <w:rPr>
                <w:rFonts w:ascii="宋体" w:eastAsia="宋体" w:hAnsi="宋体" w:cs="宋体" w:hint="eastAsia"/>
                <w:color w:val="FF0000"/>
                <w:kern w:val="0"/>
                <w:sz w:val="24"/>
                <w:szCs w:val="24"/>
              </w:rPr>
              <w:t>)</w:t>
            </w:r>
          </w:p>
        </w:tc>
        <w:tc>
          <w:tcPr>
            <w:tcW w:w="1697" w:type="dxa"/>
            <w:shd w:val="clear" w:color="auto" w:fill="FFFF00"/>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313" w:type="dxa"/>
            <w:shd w:val="clear" w:color="auto" w:fill="FFFF00"/>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331" w:type="dxa"/>
            <w:gridSpan w:val="2"/>
            <w:shd w:val="clear" w:color="auto" w:fill="FFFF00"/>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shd w:val="clear" w:color="auto" w:fill="FFFF00"/>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06"/>
          <w:jc w:val="center"/>
        </w:trPr>
        <w:tc>
          <w:tcPr>
            <w:tcW w:w="13100" w:type="dxa"/>
            <w:gridSpan w:val="9"/>
            <w:vAlign w:val="center"/>
          </w:tcPr>
          <w:p w:rsidR="000816CE" w:rsidRDefault="00FC7BEB">
            <w:pPr>
              <w:widowControl/>
              <w:spacing w:line="240" w:lineRule="auto"/>
              <w:ind w:firstLineChars="0" w:firstLine="0"/>
              <w:jc w:val="left"/>
              <w:textAlignment w:val="center"/>
              <w:rPr>
                <w:color w:val="000000" w:themeColor="text1"/>
                <w:sz w:val="24"/>
                <w:szCs w:val="24"/>
              </w:rPr>
            </w:pPr>
            <w:r>
              <w:rPr>
                <w:rFonts w:ascii="宋体" w:eastAsia="宋体" w:hAnsi="宋体" w:cs="宋体" w:hint="eastAsia"/>
                <w:b/>
                <w:bCs/>
                <w:color w:val="000000"/>
                <w:kern w:val="0"/>
                <w:sz w:val="24"/>
                <w:szCs w:val="24"/>
              </w:rPr>
              <w:t>金融服务</w:t>
            </w:r>
          </w:p>
        </w:tc>
        <w:tc>
          <w:tcPr>
            <w:tcW w:w="1047" w:type="dxa"/>
            <w:vAlign w:val="center"/>
          </w:tcPr>
          <w:p w:rsidR="000816CE" w:rsidRDefault="000816CE">
            <w:pPr>
              <w:widowControl/>
              <w:spacing w:line="240" w:lineRule="auto"/>
              <w:ind w:firstLineChars="0" w:firstLine="0"/>
              <w:jc w:val="center"/>
              <w:textAlignment w:val="center"/>
              <w:rPr>
                <w:rFonts w:ascii="宋体" w:eastAsia="宋体" w:hAnsi="宋体" w:cs="宋体"/>
                <w:b/>
                <w:bCs/>
                <w:color w:val="000000"/>
                <w:kern w:val="0"/>
                <w:sz w:val="24"/>
                <w:szCs w:val="24"/>
              </w:rPr>
            </w:pPr>
          </w:p>
        </w:tc>
      </w:tr>
      <w:tr w:rsidR="000816CE">
        <w:trPr>
          <w:trHeight w:val="1412"/>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现代金融街</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总用地面积</w:t>
            </w:r>
            <w:r>
              <w:rPr>
                <w:rFonts w:ascii="宋体" w:eastAsia="宋体" w:hAnsi="宋体" w:cs="宋体" w:hint="eastAsia"/>
                <w:color w:val="000000"/>
                <w:kern w:val="0"/>
                <w:sz w:val="24"/>
                <w:szCs w:val="24"/>
              </w:rPr>
              <w:t>18280</w:t>
            </w:r>
            <w:r>
              <w:rPr>
                <w:rFonts w:ascii="宋体" w:eastAsia="宋体" w:hAnsi="宋体" w:cs="宋体" w:hint="eastAsia"/>
                <w:color w:val="000000"/>
                <w:kern w:val="0"/>
                <w:sz w:val="24"/>
                <w:szCs w:val="24"/>
              </w:rPr>
              <w:t>平方米，分两期建设，其中一期总建筑面积</w:t>
            </w:r>
            <w:r>
              <w:rPr>
                <w:rFonts w:ascii="宋体" w:eastAsia="宋体" w:hAnsi="宋体" w:cs="宋体" w:hint="eastAsia"/>
                <w:color w:val="000000"/>
                <w:kern w:val="0"/>
                <w:sz w:val="24"/>
                <w:szCs w:val="24"/>
              </w:rPr>
              <w:t>26700</w:t>
            </w:r>
            <w:r>
              <w:rPr>
                <w:rFonts w:ascii="宋体" w:eastAsia="宋体" w:hAnsi="宋体" w:cs="宋体" w:hint="eastAsia"/>
                <w:color w:val="000000"/>
                <w:kern w:val="0"/>
                <w:sz w:val="24"/>
                <w:szCs w:val="24"/>
              </w:rPr>
              <w:t>平方米，二期总建筑面积</w:t>
            </w:r>
            <w:r>
              <w:rPr>
                <w:rFonts w:ascii="宋体" w:eastAsia="宋体" w:hAnsi="宋体" w:cs="宋体" w:hint="eastAsia"/>
                <w:color w:val="000000"/>
                <w:kern w:val="0"/>
                <w:sz w:val="24"/>
                <w:szCs w:val="24"/>
              </w:rPr>
              <w:t>49623</w:t>
            </w:r>
            <w:r>
              <w:rPr>
                <w:rFonts w:ascii="宋体" w:eastAsia="宋体" w:hAnsi="宋体" w:cs="宋体" w:hint="eastAsia"/>
                <w:color w:val="000000"/>
                <w:kern w:val="0"/>
                <w:sz w:val="24"/>
                <w:szCs w:val="24"/>
              </w:rPr>
              <w:t>平方米</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57600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2018-2025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仙游县建工投资集团有限公司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903"/>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hint="eastAsia"/>
                <w:sz w:val="24"/>
                <w:szCs w:val="24"/>
              </w:rPr>
              <w:t>莆田普惠金融信息服务平台</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hint="eastAsia"/>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hint="eastAsia"/>
                <w:sz w:val="24"/>
                <w:szCs w:val="24"/>
              </w:rPr>
              <w:t>完善该平台服务应用，汇聚资源打破区域、部门隔阂。平台以移动互联网技术为依托，金融产品和金融服务推送为手段，通过政府数据赋能，建立企业综合信用评估体系，解决银企信息不对称、企业融资难融资贵等问题，将有限金融资源向实体经济、责任企业倾斜，支持莆田特色产业可持续发展，仍需要进一步信息资源整合、升级。</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hint="eastAsia"/>
                <w:sz w:val="24"/>
                <w:szCs w:val="24"/>
              </w:rPr>
              <w:t>6</w:t>
            </w:r>
            <w:r>
              <w:rPr>
                <w:rFonts w:ascii="宋体" w:eastAsia="宋体" w:hAnsi="宋体"/>
                <w:sz w:val="24"/>
                <w:szCs w:val="24"/>
              </w:rPr>
              <w:t>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hint="eastAsia"/>
                <w:sz w:val="24"/>
                <w:szCs w:val="24"/>
              </w:rPr>
              <w:t>2</w:t>
            </w:r>
            <w:r>
              <w:rPr>
                <w:rFonts w:ascii="宋体" w:eastAsia="宋体" w:hAnsi="宋体"/>
                <w:sz w:val="24"/>
                <w:szCs w:val="24"/>
              </w:rPr>
              <w:t>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hint="eastAsia"/>
                <w:sz w:val="24"/>
                <w:szCs w:val="24"/>
              </w:rPr>
              <w:t>城厢区金融办</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仙游县互联网金融服务平台</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搭建产业、个体工商物联网金融服务平台，通过政府认证金融机构入驻、吸引各类创投基金，发展各类担保融资和产业融资行为</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仙游县财政局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木兰溪生态品牌建设</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通过下发资金，鼓励、新建木兰溪等绿色生态品牌工程，推行市场化节能减排机制，完善既有区域性碳排放权和排污权交易市场</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荔城区金融办</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lastRenderedPageBreak/>
              <w:t>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莆田科技金融服务中心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利用城厢区银行、证券、保险等金融机构汇聚特征，以服务中心的形式，集中资源，为企业申请科技金融服务提供帮助，提供对专利技术的价值评估工作以及知识产权质押融资服务</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城厢区金融办</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莆田绿色金融大数据中心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利用城厢区银行、证券、保险等金融机构汇聚特征，通过建立服务中心的形式，集中资源，为企业申请绿色金融服务提供帮助，正确引导金融机构提供优惠利率融资，强化市场导向</w:t>
            </w:r>
          </w:p>
        </w:tc>
        <w:tc>
          <w:tcPr>
            <w:tcW w:w="1697" w:type="dxa"/>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城厢区金融办</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13100" w:type="dxa"/>
            <w:gridSpan w:val="9"/>
            <w:vAlign w:val="center"/>
          </w:tcPr>
          <w:p w:rsidR="000816CE" w:rsidRDefault="00FC7BEB">
            <w:pPr>
              <w:widowControl/>
              <w:spacing w:line="240" w:lineRule="auto"/>
              <w:ind w:firstLineChars="0" w:firstLine="0"/>
              <w:jc w:val="left"/>
              <w:textAlignment w:val="center"/>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总部经济</w:t>
            </w:r>
          </w:p>
        </w:tc>
        <w:tc>
          <w:tcPr>
            <w:tcW w:w="1047" w:type="dxa"/>
            <w:vAlign w:val="center"/>
          </w:tcPr>
          <w:p w:rsidR="000816CE" w:rsidRDefault="000816CE">
            <w:pPr>
              <w:widowControl/>
              <w:spacing w:line="240" w:lineRule="auto"/>
              <w:ind w:firstLineChars="0" w:firstLine="0"/>
              <w:jc w:val="center"/>
              <w:textAlignment w:val="center"/>
              <w:rPr>
                <w:rFonts w:ascii="宋体" w:eastAsia="宋体" w:hAnsi="宋体" w:cs="宋体"/>
                <w:b/>
                <w:bCs/>
                <w:color w:val="000000"/>
                <w:kern w:val="0"/>
                <w:sz w:val="24"/>
                <w:szCs w:val="24"/>
              </w:rPr>
            </w:pP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洪奥国贸总部大楼项目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用地约</w:t>
            </w:r>
            <w:r>
              <w:rPr>
                <w:rFonts w:ascii="宋体" w:eastAsia="宋体" w:hAnsi="宋体" w:cs="宋体" w:hint="eastAsia"/>
                <w:color w:val="000000"/>
                <w:kern w:val="0"/>
                <w:sz w:val="24"/>
                <w:szCs w:val="24"/>
              </w:rPr>
              <w:t>20</w:t>
            </w:r>
            <w:r>
              <w:rPr>
                <w:rFonts w:ascii="宋体" w:eastAsia="宋体" w:hAnsi="宋体" w:cs="宋体" w:hint="eastAsia"/>
                <w:color w:val="000000"/>
                <w:kern w:val="0"/>
                <w:sz w:val="24"/>
                <w:szCs w:val="24"/>
              </w:rPr>
              <w:t>亩，建设洪奥国际贸易中心大楼</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，预计年可实</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现销售额</w:t>
            </w:r>
            <w:r>
              <w:rPr>
                <w:rFonts w:ascii="宋体" w:eastAsia="宋体" w:hAnsi="宋体" w:cs="宋体" w:hint="eastAsia"/>
                <w:color w:val="000000"/>
                <w:kern w:val="0"/>
                <w:sz w:val="24"/>
                <w:szCs w:val="24"/>
              </w:rPr>
              <w:t>20</w:t>
            </w:r>
            <w:r>
              <w:rPr>
                <w:rFonts w:ascii="宋体" w:eastAsia="宋体" w:hAnsi="宋体" w:cs="宋体" w:hint="eastAsia"/>
                <w:color w:val="000000"/>
                <w:kern w:val="0"/>
                <w:sz w:val="24"/>
                <w:szCs w:val="24"/>
              </w:rPr>
              <w:t>亿元以上</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总部</w:t>
            </w:r>
            <w:r>
              <w:rPr>
                <w:rFonts w:ascii="宋体" w:eastAsia="宋体" w:hAnsi="宋体" w:cs="宋体" w:hint="eastAsia"/>
                <w:color w:val="000000"/>
                <w:kern w:val="0"/>
                <w:sz w:val="24"/>
                <w:szCs w:val="24"/>
              </w:rPr>
              <w:t>B20</w:t>
            </w:r>
            <w:r>
              <w:rPr>
                <w:rFonts w:ascii="宋体" w:eastAsia="宋体" w:hAnsi="宋体" w:cs="宋体" w:hint="eastAsia"/>
                <w:color w:val="000000"/>
                <w:kern w:val="0"/>
                <w:sz w:val="24"/>
                <w:szCs w:val="24"/>
              </w:rPr>
              <w:t>地块（农商总部大楼）</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占地约</w:t>
            </w:r>
            <w:r>
              <w:rPr>
                <w:rFonts w:ascii="宋体" w:eastAsia="宋体" w:hAnsi="宋体" w:cs="宋体" w:hint="eastAsia"/>
                <w:color w:val="000000"/>
                <w:kern w:val="0"/>
                <w:sz w:val="24"/>
                <w:szCs w:val="24"/>
              </w:rPr>
              <w:t>13</w:t>
            </w:r>
            <w:r>
              <w:rPr>
                <w:rFonts w:ascii="宋体" w:eastAsia="宋体" w:hAnsi="宋体" w:cs="宋体" w:hint="eastAsia"/>
                <w:color w:val="000000"/>
                <w:kern w:val="0"/>
                <w:sz w:val="24"/>
                <w:szCs w:val="24"/>
              </w:rPr>
              <w:t>亩，总建筑面积约</w:t>
            </w:r>
            <w:r>
              <w:rPr>
                <w:rFonts w:ascii="宋体" w:eastAsia="宋体" w:hAnsi="宋体" w:cs="宋体" w:hint="eastAsia"/>
                <w:color w:val="000000"/>
                <w:kern w:val="0"/>
                <w:sz w:val="24"/>
                <w:szCs w:val="24"/>
              </w:rPr>
              <w:t>2.6</w:t>
            </w:r>
            <w:r>
              <w:rPr>
                <w:rFonts w:ascii="宋体" w:eastAsia="宋体" w:hAnsi="宋体" w:cs="宋体" w:hint="eastAsia"/>
                <w:color w:val="000000"/>
                <w:kern w:val="0"/>
                <w:sz w:val="24"/>
                <w:szCs w:val="24"/>
              </w:rPr>
              <w:t>万㎡。</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17700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莆田市农商行</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城厢金融总部</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充分挖掘全市</w:t>
            </w:r>
            <w:r>
              <w:rPr>
                <w:rFonts w:ascii="宋体" w:eastAsia="宋体" w:hAnsi="宋体" w:cs="宋体" w:hint="eastAsia"/>
                <w:color w:val="000000"/>
                <w:kern w:val="0"/>
                <w:sz w:val="24"/>
                <w:szCs w:val="24"/>
              </w:rPr>
              <w:t>80%</w:t>
            </w:r>
            <w:r>
              <w:rPr>
                <w:rFonts w:ascii="宋体" w:eastAsia="宋体" w:hAnsi="宋体" w:cs="宋体" w:hint="eastAsia"/>
                <w:color w:val="000000"/>
                <w:kern w:val="0"/>
                <w:sz w:val="24"/>
                <w:szCs w:val="24"/>
              </w:rPr>
              <w:t>金融总部落地城厢的区域优势，积极引入金融龙头企业，着力打造“时尚生活金融商业</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高档商务活动——集理财、金融服务、商务洽谈、商务居住观光、社交于一体的复合主题现代金融商业中心。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凤凰山街道办事处</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总部服务平台项目</w:t>
            </w:r>
          </w:p>
        </w:tc>
        <w:tc>
          <w:tcPr>
            <w:tcW w:w="1206" w:type="dxa"/>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搭建总部服务平台，为总部企业提供财务、销售、政策解读、技术咨询等配套服务</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莆田市商务局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13100" w:type="dxa"/>
            <w:gridSpan w:val="9"/>
            <w:vAlign w:val="center"/>
          </w:tcPr>
          <w:p w:rsidR="000816CE" w:rsidRDefault="00FC7BEB">
            <w:pPr>
              <w:widowControl/>
              <w:spacing w:line="240" w:lineRule="auto"/>
              <w:ind w:firstLineChars="0" w:firstLine="0"/>
              <w:jc w:val="left"/>
              <w:textAlignment w:val="center"/>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现代物流</w:t>
            </w:r>
          </w:p>
        </w:tc>
        <w:tc>
          <w:tcPr>
            <w:tcW w:w="1047" w:type="dxa"/>
            <w:vAlign w:val="center"/>
          </w:tcPr>
          <w:p w:rsidR="000816CE" w:rsidRDefault="000816CE">
            <w:pPr>
              <w:widowControl/>
              <w:spacing w:line="240" w:lineRule="auto"/>
              <w:ind w:firstLineChars="0" w:firstLine="0"/>
              <w:jc w:val="center"/>
              <w:textAlignment w:val="center"/>
              <w:rPr>
                <w:rFonts w:ascii="宋体" w:eastAsia="宋体" w:hAnsi="宋体" w:cs="宋体"/>
                <w:b/>
                <w:bCs/>
                <w:color w:val="000000"/>
                <w:kern w:val="0"/>
                <w:sz w:val="24"/>
                <w:szCs w:val="24"/>
              </w:rPr>
            </w:pPr>
          </w:p>
        </w:tc>
      </w:tr>
      <w:tr w:rsidR="000816CE">
        <w:trPr>
          <w:trHeight w:val="3875"/>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秀屿区陆地港项目及基础设施配套</w:t>
            </w:r>
          </w:p>
        </w:tc>
        <w:tc>
          <w:tcPr>
            <w:tcW w:w="1206" w:type="dxa"/>
            <w:vAlign w:val="center"/>
          </w:tcPr>
          <w:p w:rsidR="000816CE" w:rsidRDefault="00FC7BEB">
            <w:pPr>
              <w:spacing w:line="240" w:lineRule="auto"/>
              <w:ind w:firstLineChars="0" w:firstLine="0"/>
              <w:jc w:val="center"/>
              <w:rPr>
                <w:rFonts w:ascii="宋体" w:eastAsia="宋体" w:hAnsi="宋体" w:cs="宋体"/>
                <w:color w:val="000000"/>
                <w:kern w:val="0"/>
                <w:sz w:val="24"/>
                <w:szCs w:val="24"/>
              </w:rPr>
            </w:pPr>
            <w:r>
              <w:rPr>
                <w:rFonts w:ascii="宋体" w:eastAsia="宋体" w:hAnsi="宋体" w:cs="宋体" w:hint="eastAsia"/>
                <w:bCs/>
                <w:color w:val="000000"/>
                <w:sz w:val="24"/>
                <w:szCs w:val="24"/>
              </w:rPr>
              <w:t>秀屿区</w:t>
            </w:r>
          </w:p>
        </w:tc>
        <w:tc>
          <w:tcPr>
            <w:tcW w:w="5372" w:type="dxa"/>
            <w:vAlign w:val="center"/>
          </w:tcPr>
          <w:p w:rsidR="000816CE" w:rsidRDefault="00FC7BEB">
            <w:pPr>
              <w:spacing w:line="240" w:lineRule="auto"/>
              <w:ind w:firstLineChars="0" w:firstLine="0"/>
              <w:jc w:val="center"/>
              <w:rPr>
                <w:rFonts w:ascii="宋体" w:eastAsia="宋体" w:hAnsi="宋体" w:cs="宋体"/>
                <w:color w:val="000000"/>
                <w:kern w:val="0"/>
                <w:sz w:val="24"/>
                <w:szCs w:val="24"/>
              </w:rPr>
            </w:pPr>
            <w:r>
              <w:rPr>
                <w:rFonts w:ascii="宋体" w:eastAsia="宋体" w:hAnsi="宋体" w:cs="宋体" w:hint="eastAsia"/>
                <w:bCs/>
                <w:color w:val="000000"/>
                <w:sz w:val="24"/>
                <w:szCs w:val="24"/>
              </w:rPr>
              <w:t>1</w:t>
            </w:r>
            <w:r>
              <w:rPr>
                <w:rFonts w:ascii="宋体" w:eastAsia="宋体" w:hAnsi="宋体" w:cs="宋体" w:hint="eastAsia"/>
                <w:bCs/>
                <w:color w:val="000000"/>
                <w:sz w:val="24"/>
                <w:szCs w:val="24"/>
              </w:rPr>
              <w:t>、国投湄洲湾陆地港项目分三期建设：一期占地约</w:t>
            </w:r>
            <w:r>
              <w:rPr>
                <w:rFonts w:ascii="宋体" w:eastAsia="宋体" w:hAnsi="宋体" w:cs="宋体" w:hint="eastAsia"/>
                <w:bCs/>
                <w:color w:val="000000"/>
                <w:sz w:val="24"/>
                <w:szCs w:val="24"/>
              </w:rPr>
              <w:t>1100</w:t>
            </w:r>
            <w:r>
              <w:rPr>
                <w:rFonts w:ascii="宋体" w:eastAsia="宋体" w:hAnsi="宋体" w:cs="宋体" w:hint="eastAsia"/>
                <w:bCs/>
                <w:color w:val="000000"/>
                <w:sz w:val="24"/>
                <w:szCs w:val="24"/>
              </w:rPr>
              <w:t>亩，建设汽车铁路运输福建分拨中心、集快件、集拼、冷链物流、专业仓储、跨境电商、信息服务、交易、金融等现代化物流服务功能于一体的内陆口岸；二期占地约</w:t>
            </w:r>
            <w:r>
              <w:rPr>
                <w:rFonts w:ascii="宋体" w:eastAsia="宋体" w:hAnsi="宋体" w:cs="宋体" w:hint="eastAsia"/>
                <w:bCs/>
                <w:color w:val="000000"/>
                <w:sz w:val="24"/>
                <w:szCs w:val="24"/>
              </w:rPr>
              <w:t>1400</w:t>
            </w:r>
            <w:r>
              <w:rPr>
                <w:rFonts w:ascii="宋体" w:eastAsia="宋体" w:hAnsi="宋体" w:cs="宋体" w:hint="eastAsia"/>
                <w:bCs/>
                <w:color w:val="000000"/>
                <w:sz w:val="24"/>
                <w:szCs w:val="24"/>
              </w:rPr>
              <w:t>亩，建设综合保税区，基本形成运输配送、信息处理、保税仓储、加工和商业配套的现代物流中心；三期占地约</w:t>
            </w:r>
            <w:r>
              <w:rPr>
                <w:rFonts w:ascii="宋体" w:eastAsia="宋体" w:hAnsi="宋体" w:cs="宋体" w:hint="eastAsia"/>
                <w:bCs/>
                <w:color w:val="000000"/>
                <w:sz w:val="24"/>
                <w:szCs w:val="24"/>
              </w:rPr>
              <w:t>1500</w:t>
            </w:r>
            <w:r>
              <w:rPr>
                <w:rFonts w:ascii="宋体" w:eastAsia="宋体" w:hAnsi="宋体" w:cs="宋体" w:hint="eastAsia"/>
                <w:bCs/>
                <w:color w:val="000000"/>
                <w:sz w:val="24"/>
                <w:szCs w:val="24"/>
              </w:rPr>
              <w:t>亩，扩大腹地市场范围，提升园区服务能级，强化闽、赣、粤、浙四省物流通道，打造覆盖四省的物流分拨配送中心。</w:t>
            </w:r>
            <w:r>
              <w:rPr>
                <w:rFonts w:ascii="宋体" w:eastAsia="宋体" w:hAnsi="宋体" w:cs="宋体" w:hint="eastAsia"/>
                <w:bCs/>
                <w:color w:val="000000"/>
                <w:sz w:val="24"/>
                <w:szCs w:val="24"/>
              </w:rPr>
              <w:t>2</w:t>
            </w:r>
            <w:r>
              <w:rPr>
                <w:rFonts w:ascii="宋体" w:eastAsia="宋体" w:hAnsi="宋体" w:cs="宋体" w:hint="eastAsia"/>
                <w:bCs/>
                <w:color w:val="000000"/>
                <w:sz w:val="24"/>
                <w:szCs w:val="24"/>
              </w:rPr>
              <w:t>、笏枫路提升工程，约</w:t>
            </w:r>
            <w:r>
              <w:rPr>
                <w:rFonts w:ascii="宋体" w:eastAsia="宋体" w:hAnsi="宋体" w:cs="宋体" w:hint="eastAsia"/>
                <w:bCs/>
                <w:color w:val="000000"/>
                <w:sz w:val="24"/>
                <w:szCs w:val="24"/>
              </w:rPr>
              <w:t>5.8</w:t>
            </w:r>
            <w:r>
              <w:rPr>
                <w:rFonts w:ascii="宋体" w:eastAsia="宋体" w:hAnsi="宋体" w:cs="宋体" w:hint="eastAsia"/>
                <w:bCs/>
                <w:color w:val="000000"/>
                <w:sz w:val="24"/>
                <w:szCs w:val="24"/>
              </w:rPr>
              <w:t>公里，总投资约</w:t>
            </w:r>
            <w:r>
              <w:rPr>
                <w:rFonts w:ascii="宋体" w:eastAsia="宋体" w:hAnsi="宋体" w:cs="宋体" w:hint="eastAsia"/>
                <w:bCs/>
                <w:color w:val="000000"/>
                <w:sz w:val="24"/>
                <w:szCs w:val="24"/>
              </w:rPr>
              <w:t>3</w:t>
            </w:r>
            <w:r>
              <w:rPr>
                <w:rFonts w:ascii="宋体" w:eastAsia="宋体" w:hAnsi="宋体" w:cs="宋体" w:hint="eastAsia"/>
                <w:bCs/>
                <w:color w:val="000000"/>
                <w:sz w:val="24"/>
                <w:szCs w:val="24"/>
              </w:rPr>
              <w:t>亿元。</w:t>
            </w:r>
            <w:r>
              <w:rPr>
                <w:rFonts w:ascii="宋体" w:eastAsia="宋体" w:hAnsi="宋体" w:cs="宋体" w:hint="eastAsia"/>
                <w:bCs/>
                <w:color w:val="000000"/>
                <w:sz w:val="24"/>
                <w:szCs w:val="24"/>
              </w:rPr>
              <w:t>3</w:t>
            </w:r>
            <w:r>
              <w:rPr>
                <w:rFonts w:ascii="宋体" w:eastAsia="宋体" w:hAnsi="宋体" w:cs="宋体" w:hint="eastAsia"/>
                <w:bCs/>
                <w:color w:val="000000"/>
                <w:sz w:val="24"/>
                <w:szCs w:val="24"/>
              </w:rPr>
              <w:t>、清塘大道五期，约</w:t>
            </w:r>
            <w:r>
              <w:rPr>
                <w:rFonts w:ascii="宋体" w:eastAsia="宋体" w:hAnsi="宋体" w:cs="宋体" w:hint="eastAsia"/>
                <w:bCs/>
                <w:color w:val="000000"/>
                <w:sz w:val="24"/>
                <w:szCs w:val="24"/>
              </w:rPr>
              <w:t>2</w:t>
            </w:r>
            <w:r>
              <w:rPr>
                <w:rFonts w:ascii="宋体" w:eastAsia="宋体" w:hAnsi="宋体" w:cs="宋体" w:hint="eastAsia"/>
                <w:bCs/>
                <w:color w:val="000000"/>
                <w:sz w:val="24"/>
                <w:szCs w:val="24"/>
              </w:rPr>
              <w:t>公里，总投资约</w:t>
            </w:r>
            <w:r>
              <w:rPr>
                <w:rFonts w:ascii="宋体" w:eastAsia="宋体" w:hAnsi="宋体" w:cs="宋体" w:hint="eastAsia"/>
                <w:bCs/>
                <w:color w:val="000000"/>
                <w:sz w:val="24"/>
                <w:szCs w:val="24"/>
              </w:rPr>
              <w:t>3</w:t>
            </w:r>
            <w:r>
              <w:rPr>
                <w:rFonts w:ascii="宋体" w:eastAsia="宋体" w:hAnsi="宋体" w:cs="宋体" w:hint="eastAsia"/>
                <w:bCs/>
                <w:color w:val="000000"/>
                <w:sz w:val="24"/>
                <w:szCs w:val="24"/>
              </w:rPr>
              <w:t>亿</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1</w:t>
            </w:r>
            <w:r>
              <w:rPr>
                <w:rFonts w:ascii="宋体" w:eastAsia="宋体" w:hAnsi="宋体" w:cs="宋体" w:hint="eastAsia"/>
                <w:bCs/>
                <w:color w:val="000000"/>
                <w:sz w:val="24"/>
                <w:szCs w:val="24"/>
              </w:rPr>
              <w:t>060000</w:t>
            </w:r>
          </w:p>
        </w:tc>
        <w:tc>
          <w:tcPr>
            <w:tcW w:w="1313" w:type="dxa"/>
            <w:vAlign w:val="center"/>
          </w:tcPr>
          <w:p w:rsidR="000816CE" w:rsidRDefault="00FC7BEB">
            <w:pPr>
              <w:spacing w:line="240" w:lineRule="auto"/>
              <w:ind w:firstLineChars="0" w:firstLine="0"/>
              <w:jc w:val="center"/>
              <w:rPr>
                <w:rFonts w:ascii="宋体" w:eastAsia="宋体" w:hAnsi="宋体" w:cs="宋体"/>
                <w:color w:val="000000"/>
                <w:kern w:val="0"/>
                <w:sz w:val="24"/>
                <w:szCs w:val="24"/>
              </w:rPr>
            </w:pPr>
            <w:r>
              <w:rPr>
                <w:rFonts w:ascii="宋体" w:eastAsia="宋体" w:hAnsi="宋体" w:cs="宋体" w:hint="eastAsia"/>
                <w:bCs/>
                <w:color w:val="000000"/>
                <w:sz w:val="24"/>
                <w:szCs w:val="24"/>
              </w:rPr>
              <w:t>2021-2030</w:t>
            </w:r>
          </w:p>
        </w:tc>
        <w:tc>
          <w:tcPr>
            <w:tcW w:w="1331" w:type="dxa"/>
            <w:gridSpan w:val="2"/>
            <w:vAlign w:val="center"/>
          </w:tcPr>
          <w:p w:rsidR="000816CE" w:rsidRDefault="00FC7BEB">
            <w:pPr>
              <w:spacing w:line="240" w:lineRule="auto"/>
              <w:ind w:firstLineChars="0" w:firstLine="0"/>
              <w:jc w:val="center"/>
              <w:rPr>
                <w:rFonts w:ascii="宋体" w:eastAsia="宋体" w:hAnsi="宋体" w:cs="宋体"/>
                <w:color w:val="000000"/>
                <w:kern w:val="0"/>
                <w:sz w:val="24"/>
                <w:szCs w:val="24"/>
              </w:rPr>
            </w:pPr>
            <w:r>
              <w:rPr>
                <w:rFonts w:ascii="宋体" w:eastAsia="宋体" w:hAnsi="宋体" w:cs="宋体" w:hint="eastAsia"/>
                <w:bCs/>
                <w:color w:val="000000"/>
                <w:sz w:val="24"/>
                <w:szCs w:val="24"/>
              </w:rPr>
              <w:t>国投湄洲湾产业园开发有限公司</w:t>
            </w:r>
          </w:p>
        </w:tc>
        <w:tc>
          <w:tcPr>
            <w:tcW w:w="1047" w:type="dxa"/>
            <w:vAlign w:val="center"/>
          </w:tcPr>
          <w:p w:rsidR="000816CE" w:rsidRDefault="00FC7BEB">
            <w:pPr>
              <w:spacing w:line="240" w:lineRule="auto"/>
              <w:ind w:firstLineChars="0" w:firstLine="0"/>
              <w:jc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771"/>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华峰物流供应链项目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拟在经济开发区新增用地</w:t>
            </w:r>
            <w:r>
              <w:rPr>
                <w:rFonts w:ascii="宋体" w:eastAsia="宋体" w:hAnsi="宋体" w:cs="宋体" w:hint="eastAsia"/>
                <w:color w:val="000000"/>
                <w:sz w:val="24"/>
                <w:szCs w:val="24"/>
              </w:rPr>
              <w:t>100</w:t>
            </w:r>
            <w:r>
              <w:rPr>
                <w:rFonts w:ascii="宋体" w:eastAsia="宋体" w:hAnsi="宋体" w:cs="宋体" w:hint="eastAsia"/>
                <w:color w:val="000000"/>
                <w:sz w:val="24"/>
                <w:szCs w:val="24"/>
              </w:rPr>
              <w:t>亩，作为绿色纤维产业园配套物流供应链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华峰集团</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1357"/>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秀屿宏宝药械物流园项目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总建筑面积约</w:t>
            </w:r>
            <w:r>
              <w:rPr>
                <w:rFonts w:ascii="宋体" w:eastAsia="宋体" w:hAnsi="宋体" w:cs="宋体" w:hint="eastAsia"/>
                <w:color w:val="000000"/>
                <w:sz w:val="24"/>
                <w:szCs w:val="24"/>
              </w:rPr>
              <w:t>20</w:t>
            </w:r>
            <w:r>
              <w:rPr>
                <w:rFonts w:ascii="宋体" w:eastAsia="宋体" w:hAnsi="宋体" w:cs="宋体" w:hint="eastAsia"/>
                <w:color w:val="000000"/>
                <w:sz w:val="24"/>
                <w:szCs w:val="24"/>
              </w:rPr>
              <w:t>万平方米，包括药械展示中心、药械总部大楼、厂房、仓储物流中心，打造医药仓储物流、药械总部、药械展示、药械交易、药械研发生产为一体的药械物流园</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2019-2022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莆田宏宝投资有限公司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湄洲岛渔港经济区</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依托湄洲岛一级渔港，按照“一核两轴三片区”的建设构想，建设中心渔港核心区，滨海旅游景观轴、渔港交通轴，生态渔港休闲区、冷链物流园区、沿岸民宿旅游区</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60000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湄洲岛渔港建设有限公司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海吉星农产品物流集散中心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用地约</w:t>
            </w:r>
            <w:r>
              <w:rPr>
                <w:rFonts w:ascii="宋体" w:eastAsia="宋体" w:hAnsi="宋体" w:cs="宋体" w:hint="eastAsia"/>
                <w:color w:val="000000"/>
                <w:kern w:val="0"/>
                <w:sz w:val="24"/>
                <w:szCs w:val="24"/>
              </w:rPr>
              <w:t>750</w:t>
            </w:r>
            <w:r>
              <w:rPr>
                <w:rFonts w:ascii="宋体" w:eastAsia="宋体" w:hAnsi="宋体" w:cs="宋体" w:hint="eastAsia"/>
                <w:color w:val="000000"/>
                <w:kern w:val="0"/>
                <w:sz w:val="24"/>
                <w:szCs w:val="24"/>
              </w:rPr>
              <w:t>亩，一期用地约</w:t>
            </w:r>
            <w:r>
              <w:rPr>
                <w:rFonts w:ascii="宋体" w:eastAsia="宋体" w:hAnsi="宋体" w:cs="宋体" w:hint="eastAsia"/>
                <w:color w:val="000000"/>
                <w:kern w:val="0"/>
                <w:sz w:val="24"/>
                <w:szCs w:val="24"/>
              </w:rPr>
              <w:t>340</w:t>
            </w:r>
            <w:r>
              <w:rPr>
                <w:rFonts w:ascii="宋体" w:eastAsia="宋体" w:hAnsi="宋体" w:cs="宋体" w:hint="eastAsia"/>
                <w:color w:val="000000"/>
                <w:kern w:val="0"/>
                <w:sz w:val="24"/>
                <w:szCs w:val="24"/>
              </w:rPr>
              <w:t>亩。</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梧塘镇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莆田大地工</w:t>
            </w:r>
            <w:r>
              <w:rPr>
                <w:rFonts w:ascii="宋体" w:eastAsia="宋体" w:hAnsi="宋体" w:cs="宋体" w:hint="eastAsia"/>
                <w:color w:val="000000"/>
                <w:kern w:val="0"/>
                <w:sz w:val="24"/>
                <w:szCs w:val="24"/>
              </w:rPr>
              <w:lastRenderedPageBreak/>
              <w:t>业品仓储有限公司仓储物流园设施建设二期项目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lastRenderedPageBreak/>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建设为集仓储、物流、配送、运输、批发等功能</w:t>
            </w:r>
            <w:r>
              <w:rPr>
                <w:rFonts w:ascii="宋体" w:eastAsia="宋体" w:hAnsi="宋体" w:cs="宋体" w:hint="eastAsia"/>
                <w:color w:val="000000"/>
                <w:kern w:val="0"/>
                <w:sz w:val="24"/>
                <w:szCs w:val="24"/>
              </w:rPr>
              <w:lastRenderedPageBreak/>
              <w:t>为一体场所。项目用地面积</w:t>
            </w:r>
            <w:r>
              <w:rPr>
                <w:rFonts w:ascii="宋体" w:eastAsia="宋体" w:hAnsi="宋体" w:cs="宋体" w:hint="eastAsia"/>
                <w:color w:val="000000"/>
                <w:kern w:val="0"/>
                <w:sz w:val="24"/>
                <w:szCs w:val="24"/>
              </w:rPr>
              <w:t>86.6</w:t>
            </w:r>
            <w:r>
              <w:rPr>
                <w:rFonts w:ascii="宋体" w:eastAsia="宋体" w:hAnsi="宋体" w:cs="宋体" w:hint="eastAsia"/>
                <w:color w:val="000000"/>
                <w:kern w:val="0"/>
                <w:sz w:val="24"/>
                <w:szCs w:val="24"/>
              </w:rPr>
              <w:t>亩，项目总建筑面积</w:t>
            </w:r>
            <w:r>
              <w:rPr>
                <w:rFonts w:ascii="宋体" w:eastAsia="宋体" w:hAnsi="宋体" w:cs="宋体" w:hint="eastAsia"/>
                <w:color w:val="000000"/>
                <w:kern w:val="0"/>
                <w:sz w:val="24"/>
                <w:szCs w:val="24"/>
              </w:rPr>
              <w:t>40000</w:t>
            </w:r>
            <w:r>
              <w:rPr>
                <w:rFonts w:ascii="宋体" w:eastAsia="宋体" w:hAnsi="宋体" w:cs="宋体" w:hint="eastAsia"/>
                <w:color w:val="000000"/>
                <w:kern w:val="0"/>
                <w:sz w:val="24"/>
                <w:szCs w:val="24"/>
              </w:rPr>
              <w:t>㎡。</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20000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莆田大地</w:t>
            </w:r>
            <w:r>
              <w:rPr>
                <w:rFonts w:ascii="宋体" w:eastAsia="宋体" w:hAnsi="宋体" w:cs="宋体" w:hint="eastAsia"/>
                <w:color w:val="000000"/>
                <w:kern w:val="0"/>
                <w:sz w:val="24"/>
                <w:szCs w:val="24"/>
              </w:rPr>
              <w:lastRenderedPageBreak/>
              <w:t>工业品仓储有限公司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lastRenderedPageBreak/>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7</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莆田大地工业品仓储有限公司增资项目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号楼开工建设、内部装修及基础设施建设。</w:t>
            </w:r>
            <w:r>
              <w:rPr>
                <w:rFonts w:ascii="宋体" w:eastAsia="宋体" w:hAnsi="宋体" w:cs="宋体" w:hint="eastAsia"/>
                <w:color w:val="000000"/>
                <w:kern w:val="0"/>
                <w:sz w:val="24"/>
                <w:szCs w:val="24"/>
              </w:rPr>
              <w:t xml:space="preserve"> 2</w:t>
            </w:r>
            <w:r>
              <w:rPr>
                <w:rFonts w:ascii="宋体" w:eastAsia="宋体" w:hAnsi="宋体" w:cs="宋体" w:hint="eastAsia"/>
                <w:color w:val="000000"/>
                <w:kern w:val="0"/>
                <w:sz w:val="24"/>
                <w:szCs w:val="24"/>
              </w:rPr>
              <w:t>号、</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号楼内部装修及基础设施建设并竣工使用。</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一期</w:t>
            </w:r>
            <w:r>
              <w:rPr>
                <w:rFonts w:ascii="宋体" w:eastAsia="宋体" w:hAnsi="宋体" w:cs="宋体" w:hint="eastAsia"/>
                <w:color w:val="000000"/>
                <w:kern w:val="0"/>
                <w:sz w:val="24"/>
                <w:szCs w:val="24"/>
              </w:rPr>
              <w:t>60</w:t>
            </w:r>
            <w:r>
              <w:rPr>
                <w:rFonts w:ascii="宋体" w:eastAsia="宋体" w:hAnsi="宋体" w:cs="宋体" w:hint="eastAsia"/>
                <w:color w:val="000000"/>
                <w:kern w:val="0"/>
                <w:sz w:val="24"/>
                <w:szCs w:val="24"/>
              </w:rPr>
              <w:t>亩地。</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2018-2021</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莆田市涵江区白塘镇人民政府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8</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嘉骏物流产业园</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规划用地</w:t>
            </w:r>
            <w:r>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亩，总建筑面积</w:t>
            </w:r>
            <w:r>
              <w:rPr>
                <w:rFonts w:ascii="宋体" w:eastAsia="宋体" w:hAnsi="宋体" w:cs="宋体" w:hint="eastAsia"/>
                <w:color w:val="000000"/>
                <w:kern w:val="0"/>
                <w:sz w:val="24"/>
                <w:szCs w:val="24"/>
              </w:rPr>
              <w:t>4.2</w:t>
            </w:r>
            <w:r>
              <w:rPr>
                <w:rFonts w:ascii="宋体" w:eastAsia="宋体" w:hAnsi="宋体" w:cs="宋体" w:hint="eastAsia"/>
                <w:color w:val="000000"/>
                <w:kern w:val="0"/>
                <w:sz w:val="24"/>
                <w:szCs w:val="24"/>
              </w:rPr>
              <w:t>万平方米，主要建设仓储区、物流商务中心、货运车辆停车区等。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新涵工业区</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9</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福建启星商贸物流中心项目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征地</w:t>
            </w:r>
            <w:r>
              <w:rPr>
                <w:rFonts w:ascii="宋体" w:eastAsia="宋体" w:hAnsi="宋体" w:cs="宋体" w:hint="eastAsia"/>
                <w:color w:val="000000"/>
                <w:kern w:val="0"/>
                <w:sz w:val="24"/>
                <w:szCs w:val="24"/>
              </w:rPr>
              <w:t>500</w:t>
            </w:r>
            <w:r>
              <w:rPr>
                <w:rFonts w:ascii="宋体" w:eastAsia="宋体" w:hAnsi="宋体" w:cs="宋体" w:hint="eastAsia"/>
                <w:color w:val="000000"/>
                <w:kern w:val="0"/>
                <w:sz w:val="24"/>
                <w:szCs w:val="24"/>
              </w:rPr>
              <w:t>亩筹建中国启星商贸物流中心项目，将打造成集科工贸、物流、研发、检测、电商于一体的大型外贸综合性公司。</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highlight w:val="yellow"/>
              </w:rPr>
            </w:pPr>
            <w:r>
              <w:rPr>
                <w:rFonts w:ascii="宋体" w:eastAsia="宋体" w:hAnsi="宋体" w:cs="宋体" w:hint="eastAsia"/>
                <w:color w:val="0000FF"/>
                <w:kern w:val="0"/>
                <w:sz w:val="24"/>
                <w:szCs w:val="24"/>
                <w:highlight w:val="yellow"/>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香港启星集团（国际）有限公司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10</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普洛斯物流二期</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新建</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座钢架库房及配套设施，总建筑面积</w:t>
            </w:r>
            <w:r>
              <w:rPr>
                <w:rFonts w:ascii="宋体" w:eastAsia="宋体" w:hAnsi="宋体" w:cs="宋体" w:hint="eastAsia"/>
                <w:color w:val="000000"/>
                <w:kern w:val="0"/>
                <w:sz w:val="24"/>
                <w:szCs w:val="24"/>
              </w:rPr>
              <w:t>63467</w:t>
            </w:r>
            <w:r>
              <w:rPr>
                <w:rFonts w:ascii="宋体" w:eastAsia="宋体" w:hAnsi="宋体" w:cs="宋体" w:hint="eastAsia"/>
                <w:color w:val="000000"/>
                <w:kern w:val="0"/>
                <w:sz w:val="24"/>
                <w:szCs w:val="24"/>
              </w:rPr>
              <w:t>平方米。</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2019-2021</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普洛斯物流（莆田）有限公司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众诚蔬菜冷链物流建设项目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项目用地约</w:t>
            </w:r>
            <w:r>
              <w:rPr>
                <w:rFonts w:ascii="宋体" w:eastAsia="宋体" w:hAnsi="宋体" w:cs="宋体" w:hint="eastAsia"/>
                <w:color w:val="000000"/>
                <w:kern w:val="0"/>
                <w:sz w:val="24"/>
                <w:szCs w:val="24"/>
              </w:rPr>
              <w:t>21</w:t>
            </w:r>
            <w:r>
              <w:rPr>
                <w:rFonts w:ascii="宋体" w:eastAsia="宋体" w:hAnsi="宋体" w:cs="宋体" w:hint="eastAsia"/>
                <w:color w:val="000000"/>
                <w:kern w:val="0"/>
                <w:sz w:val="24"/>
                <w:szCs w:val="24"/>
              </w:rPr>
              <w:t>亩，建设蔬菜冷藏鲜库</w:t>
            </w:r>
            <w:r>
              <w:rPr>
                <w:rFonts w:ascii="宋体" w:eastAsia="宋体" w:hAnsi="宋体" w:cs="宋体" w:hint="eastAsia"/>
                <w:color w:val="000000"/>
                <w:kern w:val="0"/>
                <w:sz w:val="24"/>
                <w:szCs w:val="24"/>
              </w:rPr>
              <w:t>13</w:t>
            </w:r>
            <w:r>
              <w:rPr>
                <w:rFonts w:ascii="宋体" w:eastAsia="宋体" w:hAnsi="宋体" w:cs="宋体" w:hint="eastAsia"/>
                <w:color w:val="000000"/>
                <w:kern w:val="0"/>
                <w:sz w:val="24"/>
                <w:szCs w:val="24"/>
              </w:rPr>
              <w:t>个，从事蔬菜加工、保鲜、销售、运输配送业务。</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1600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莆田兴化湾（涵江）港口物流园区一期工程</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建设集装箱和件杂货堆场、仓库、公铁水联运区以及给排水、供电照明、消防、环保等相关配套设施。</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78000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福建省莆田涵江港口建设发展有限公司</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lastRenderedPageBreak/>
              <w:t>江口镇</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三江口镇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lastRenderedPageBreak/>
              <w:t>在建</w:t>
            </w:r>
          </w:p>
        </w:tc>
      </w:tr>
      <w:tr w:rsidR="000816CE">
        <w:trPr>
          <w:trHeight w:val="1678"/>
          <w:jc w:val="center"/>
        </w:trPr>
        <w:tc>
          <w:tcPr>
            <w:tcW w:w="732" w:type="dxa"/>
            <w:tcBorders>
              <w:bottom w:val="nil"/>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13</w:t>
            </w:r>
          </w:p>
        </w:tc>
        <w:tc>
          <w:tcPr>
            <w:tcW w:w="1449"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国投莆田国际物流港</w:t>
            </w:r>
          </w:p>
        </w:tc>
        <w:tc>
          <w:tcPr>
            <w:tcW w:w="1206"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highlight w:val="yellow"/>
              </w:rPr>
              <w:t>北岸</w:t>
            </w:r>
          </w:p>
        </w:tc>
        <w:tc>
          <w:tcPr>
            <w:tcW w:w="5372"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项目总规划用地</w:t>
            </w:r>
            <w:r>
              <w:rPr>
                <w:rFonts w:ascii="宋体" w:eastAsia="宋体" w:hAnsi="宋体" w:cs="宋体" w:hint="eastAsia"/>
                <w:color w:val="000000"/>
                <w:kern w:val="0"/>
                <w:sz w:val="24"/>
                <w:szCs w:val="24"/>
              </w:rPr>
              <w:t>1195</w:t>
            </w:r>
            <w:r>
              <w:rPr>
                <w:rFonts w:ascii="宋体" w:eastAsia="宋体" w:hAnsi="宋体" w:cs="宋体" w:hint="eastAsia"/>
                <w:color w:val="000000"/>
                <w:kern w:val="0"/>
                <w:sz w:val="24"/>
                <w:szCs w:val="24"/>
              </w:rPr>
              <w:t>亩，分两期实施：一期约</w:t>
            </w:r>
            <w:r>
              <w:rPr>
                <w:rFonts w:ascii="宋体" w:eastAsia="宋体" w:hAnsi="宋体" w:cs="宋体" w:hint="eastAsia"/>
                <w:color w:val="000000"/>
                <w:kern w:val="0"/>
                <w:sz w:val="24"/>
                <w:szCs w:val="24"/>
              </w:rPr>
              <w:t>776</w:t>
            </w:r>
            <w:r>
              <w:rPr>
                <w:rFonts w:ascii="宋体" w:eastAsia="宋体" w:hAnsi="宋体" w:cs="宋体" w:hint="eastAsia"/>
                <w:color w:val="000000"/>
                <w:kern w:val="0"/>
                <w:sz w:val="24"/>
                <w:szCs w:val="24"/>
              </w:rPr>
              <w:t>亩，二期约</w:t>
            </w:r>
            <w:r>
              <w:rPr>
                <w:rFonts w:ascii="宋体" w:eastAsia="宋体" w:hAnsi="宋体" w:cs="宋体" w:hint="eastAsia"/>
                <w:color w:val="000000"/>
                <w:kern w:val="0"/>
                <w:sz w:val="24"/>
                <w:szCs w:val="24"/>
              </w:rPr>
              <w:t>419</w:t>
            </w:r>
            <w:r>
              <w:rPr>
                <w:rFonts w:ascii="宋体" w:eastAsia="宋体" w:hAnsi="宋体" w:cs="宋体" w:hint="eastAsia"/>
                <w:color w:val="000000"/>
                <w:kern w:val="0"/>
                <w:sz w:val="24"/>
                <w:szCs w:val="24"/>
              </w:rPr>
              <w:t>亩。建设海关多式联运监管区、商品车铁路运输福建分拨中心、国际快件中心、冷链物流中心、第三方物流中心等，项目建成后将提升地方物流服务水平，促进产业升级，服务于福建省建设＂一带一路＂核心区战略。</w:t>
            </w:r>
          </w:p>
        </w:tc>
        <w:tc>
          <w:tcPr>
            <w:tcW w:w="169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国投湄洲湾产业园开发有限公司</w:t>
            </w:r>
          </w:p>
        </w:tc>
        <w:tc>
          <w:tcPr>
            <w:tcW w:w="104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莆田市农产品物流集散中心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建设智慧农产品保障中心，搭建农产品流通服务平台，构建食品安全保障体系，打造品牌农业等。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2021-2026</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深圳市农产品集团股份有限公司、莆田市振兴乡村集团有限公司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众诚农业农产品冷链物流项目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种植水稻、蔬菜</w:t>
            </w:r>
            <w:r>
              <w:rPr>
                <w:rFonts w:ascii="宋体" w:eastAsia="宋体" w:hAnsi="宋体" w:cs="宋体" w:hint="eastAsia"/>
                <w:color w:val="000000"/>
                <w:kern w:val="0"/>
                <w:sz w:val="24"/>
                <w:szCs w:val="24"/>
              </w:rPr>
              <w:t>1000</w:t>
            </w:r>
            <w:r>
              <w:rPr>
                <w:rFonts w:ascii="宋体" w:eastAsia="宋体" w:hAnsi="宋体" w:cs="宋体" w:hint="eastAsia"/>
                <w:color w:val="000000"/>
                <w:kern w:val="0"/>
                <w:sz w:val="24"/>
                <w:szCs w:val="24"/>
              </w:rPr>
              <w:t>亩，建设</w:t>
            </w:r>
            <w:r>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吨级冷藏库</w:t>
            </w:r>
            <w:r>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个、</w:t>
            </w:r>
            <w:r>
              <w:rPr>
                <w:rFonts w:ascii="宋体" w:eastAsia="宋体" w:hAnsi="宋体" w:cs="宋体" w:hint="eastAsia"/>
                <w:color w:val="000000"/>
                <w:kern w:val="0"/>
                <w:sz w:val="24"/>
                <w:szCs w:val="24"/>
              </w:rPr>
              <w:t>150</w:t>
            </w:r>
            <w:r>
              <w:rPr>
                <w:rFonts w:ascii="宋体" w:eastAsia="宋体" w:hAnsi="宋体" w:cs="宋体" w:hint="eastAsia"/>
                <w:color w:val="000000"/>
                <w:kern w:val="0"/>
                <w:sz w:val="24"/>
                <w:szCs w:val="24"/>
              </w:rPr>
              <w:t>吨级</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个、</w:t>
            </w:r>
            <w:r>
              <w:rPr>
                <w:rFonts w:ascii="宋体" w:eastAsia="宋体" w:hAnsi="宋体" w:cs="宋体" w:hint="eastAsia"/>
                <w:color w:val="000000"/>
                <w:kern w:val="0"/>
                <w:sz w:val="24"/>
                <w:szCs w:val="24"/>
              </w:rPr>
              <w:t>200</w:t>
            </w:r>
            <w:r>
              <w:rPr>
                <w:rFonts w:ascii="宋体" w:eastAsia="宋体" w:hAnsi="宋体" w:cs="宋体" w:hint="eastAsia"/>
                <w:color w:val="000000"/>
                <w:kern w:val="0"/>
                <w:sz w:val="24"/>
                <w:szCs w:val="24"/>
              </w:rPr>
              <w:t>吨级</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个，发展农产品冷链物流。</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莆田市众诚农业发展有限公司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莆田市湄洲岛轮渡第二通道陆岛交通码头工程</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在文甲港址和宫下港址新建</w:t>
            </w:r>
            <w:r>
              <w:rPr>
                <w:rFonts w:ascii="宋体" w:eastAsia="宋体" w:hAnsi="宋体" w:cs="宋体" w:hint="eastAsia"/>
                <w:color w:val="000000"/>
                <w:sz w:val="24"/>
                <w:szCs w:val="24"/>
              </w:rPr>
              <w:t>500GT</w:t>
            </w:r>
            <w:r>
              <w:rPr>
                <w:rFonts w:ascii="宋体" w:eastAsia="宋体" w:hAnsi="宋体" w:cs="宋体" w:hint="eastAsia"/>
                <w:color w:val="000000"/>
                <w:sz w:val="24"/>
                <w:szCs w:val="24"/>
              </w:rPr>
              <w:t>客运泊位各</w:t>
            </w:r>
            <w:r>
              <w:rPr>
                <w:rFonts w:ascii="宋体" w:eastAsia="宋体" w:hAnsi="宋体" w:cs="宋体" w:hint="eastAsia"/>
                <w:color w:val="000000"/>
                <w:sz w:val="24"/>
                <w:szCs w:val="24"/>
              </w:rPr>
              <w:t>3</w:t>
            </w:r>
            <w:r>
              <w:rPr>
                <w:rFonts w:ascii="宋体" w:eastAsia="宋体" w:hAnsi="宋体" w:cs="宋体" w:hint="eastAsia"/>
                <w:color w:val="000000"/>
                <w:sz w:val="24"/>
                <w:szCs w:val="24"/>
              </w:rPr>
              <w:t>个及相应的水、电等配套设施，年客运吞吐量</w:t>
            </w:r>
            <w:r>
              <w:rPr>
                <w:rFonts w:ascii="宋体" w:eastAsia="宋体" w:hAnsi="宋体" w:cs="宋体" w:hint="eastAsia"/>
                <w:color w:val="000000"/>
                <w:sz w:val="24"/>
                <w:szCs w:val="24"/>
              </w:rPr>
              <w:t>457</w:t>
            </w:r>
            <w:r>
              <w:rPr>
                <w:rFonts w:ascii="宋体" w:eastAsia="宋体" w:hAnsi="宋体" w:cs="宋体" w:hint="eastAsia"/>
                <w:color w:val="000000"/>
                <w:sz w:val="24"/>
                <w:szCs w:val="24"/>
              </w:rPr>
              <w:t>万人次，设计年客运通过能力</w:t>
            </w:r>
            <w:r>
              <w:rPr>
                <w:rFonts w:ascii="宋体" w:eastAsia="宋体" w:hAnsi="宋体" w:cs="宋体" w:hint="eastAsia"/>
                <w:color w:val="000000"/>
                <w:sz w:val="24"/>
                <w:szCs w:val="24"/>
              </w:rPr>
              <w:t>477</w:t>
            </w:r>
            <w:r>
              <w:rPr>
                <w:rFonts w:ascii="宋体" w:eastAsia="宋体" w:hAnsi="宋体" w:cs="宋体" w:hint="eastAsia"/>
                <w:color w:val="000000"/>
                <w:sz w:val="24"/>
                <w:szCs w:val="24"/>
              </w:rPr>
              <w:t>万人次。</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18000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2021-2023</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145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17</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朝圣码头</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东起湄洲一级渔港码头、西至山亭镇山柄村，两侧码头各建设</w:t>
            </w:r>
            <w:r>
              <w:rPr>
                <w:rFonts w:ascii="宋体" w:eastAsia="宋体" w:hAnsi="宋体" w:cs="宋体" w:hint="eastAsia"/>
                <w:color w:val="000000"/>
                <w:sz w:val="24"/>
                <w:szCs w:val="24"/>
              </w:rPr>
              <w:t>500GT</w:t>
            </w:r>
            <w:r>
              <w:rPr>
                <w:rFonts w:ascii="宋体" w:eastAsia="宋体" w:hAnsi="宋体" w:cs="宋体" w:hint="eastAsia"/>
                <w:color w:val="000000"/>
                <w:sz w:val="24"/>
                <w:szCs w:val="24"/>
              </w:rPr>
              <w:t>客运泊位</w:t>
            </w:r>
            <w:r>
              <w:rPr>
                <w:rFonts w:ascii="宋体" w:eastAsia="宋体" w:hAnsi="宋体" w:cs="宋体" w:hint="eastAsia"/>
                <w:color w:val="000000"/>
                <w:sz w:val="24"/>
                <w:szCs w:val="24"/>
              </w:rPr>
              <w:t>3</w:t>
            </w:r>
            <w:r>
              <w:rPr>
                <w:rFonts w:ascii="宋体" w:eastAsia="宋体" w:hAnsi="宋体" w:cs="宋体" w:hint="eastAsia"/>
                <w:color w:val="000000"/>
                <w:sz w:val="24"/>
                <w:szCs w:val="24"/>
              </w:rPr>
              <w:t>个，预留</w:t>
            </w:r>
            <w:r>
              <w:rPr>
                <w:rFonts w:ascii="宋体" w:eastAsia="宋体" w:hAnsi="宋体" w:cs="宋体" w:hint="eastAsia"/>
                <w:color w:val="000000"/>
                <w:sz w:val="24"/>
                <w:szCs w:val="24"/>
              </w:rPr>
              <w:t>300GT</w:t>
            </w:r>
            <w:r>
              <w:rPr>
                <w:rFonts w:ascii="宋体" w:eastAsia="宋体" w:hAnsi="宋体" w:cs="宋体" w:hint="eastAsia"/>
                <w:color w:val="000000"/>
                <w:sz w:val="24"/>
                <w:szCs w:val="24"/>
              </w:rPr>
              <w:t>客运泊位</w:t>
            </w:r>
            <w:r>
              <w:rPr>
                <w:rFonts w:ascii="宋体" w:eastAsia="宋体" w:hAnsi="宋体" w:cs="宋体" w:hint="eastAsia"/>
                <w:color w:val="000000"/>
                <w:sz w:val="24"/>
                <w:szCs w:val="24"/>
              </w:rPr>
              <w:t>3</w:t>
            </w:r>
            <w:r>
              <w:rPr>
                <w:rFonts w:ascii="宋体" w:eastAsia="宋体" w:hAnsi="宋体" w:cs="宋体" w:hint="eastAsia"/>
                <w:color w:val="000000"/>
                <w:sz w:val="24"/>
                <w:szCs w:val="24"/>
              </w:rPr>
              <w:t>个。东蔡港池形成陆域</w:t>
            </w:r>
            <w:r>
              <w:rPr>
                <w:rFonts w:ascii="宋体" w:eastAsia="宋体" w:hAnsi="宋体" w:cs="宋体" w:hint="eastAsia"/>
                <w:color w:val="000000"/>
                <w:sz w:val="24"/>
                <w:szCs w:val="24"/>
              </w:rPr>
              <w:t>2.83</w:t>
            </w:r>
            <w:r>
              <w:rPr>
                <w:rFonts w:ascii="宋体" w:eastAsia="宋体" w:hAnsi="宋体" w:cs="宋体" w:hint="eastAsia"/>
                <w:color w:val="000000"/>
                <w:sz w:val="24"/>
                <w:szCs w:val="24"/>
              </w:rPr>
              <w:t>公顷、山柄港池建设高桩平台</w:t>
            </w:r>
            <w:r>
              <w:rPr>
                <w:rFonts w:ascii="宋体" w:eastAsia="宋体" w:hAnsi="宋体" w:cs="宋体" w:hint="eastAsia"/>
                <w:color w:val="000000"/>
                <w:sz w:val="24"/>
                <w:szCs w:val="24"/>
              </w:rPr>
              <w:t>6.04</w:t>
            </w:r>
            <w:r>
              <w:rPr>
                <w:rFonts w:ascii="宋体" w:eastAsia="宋体" w:hAnsi="宋体" w:cs="宋体" w:hint="eastAsia"/>
                <w:color w:val="000000"/>
                <w:sz w:val="24"/>
                <w:szCs w:val="24"/>
              </w:rPr>
              <w:t>公顷。</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150000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2020-2025</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1394"/>
          <w:jc w:val="center"/>
        </w:trPr>
        <w:tc>
          <w:tcPr>
            <w:tcW w:w="732" w:type="dxa"/>
            <w:tcBorders>
              <w:bottom w:val="nil"/>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18</w:t>
            </w:r>
          </w:p>
        </w:tc>
        <w:tc>
          <w:tcPr>
            <w:tcW w:w="1449"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莆田市湄洲岛国际邮轮访问港</w:t>
            </w:r>
          </w:p>
        </w:tc>
        <w:tc>
          <w:tcPr>
            <w:tcW w:w="1206"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湄洲岛</w:t>
            </w:r>
          </w:p>
        </w:tc>
        <w:tc>
          <w:tcPr>
            <w:tcW w:w="5372"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拟选址于湄洲岛西南端规划港口岸线（原</w:t>
            </w:r>
            <w:r>
              <w:rPr>
                <w:rFonts w:ascii="宋体" w:eastAsia="宋体" w:hAnsi="宋体" w:cs="宋体" w:hint="eastAsia"/>
                <w:color w:val="000000"/>
                <w:kern w:val="0"/>
                <w:sz w:val="24"/>
                <w:szCs w:val="24"/>
              </w:rPr>
              <w:t>3000</w:t>
            </w:r>
            <w:r>
              <w:rPr>
                <w:rFonts w:ascii="宋体" w:eastAsia="宋体" w:hAnsi="宋体" w:cs="宋体" w:hint="eastAsia"/>
                <w:color w:val="000000"/>
                <w:kern w:val="0"/>
                <w:sz w:val="24"/>
                <w:szCs w:val="24"/>
              </w:rPr>
              <w:t>吨级对台码头位置），建设邮轮码头供国际邮轮停靠点，开展“妈祖下南洋”“湄台海上直航”等文化交流活动。</w:t>
            </w:r>
          </w:p>
        </w:tc>
        <w:tc>
          <w:tcPr>
            <w:tcW w:w="169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53000</w:t>
            </w:r>
          </w:p>
        </w:tc>
        <w:tc>
          <w:tcPr>
            <w:tcW w:w="1313"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tcBorders>
              <w:bottom w:val="nil"/>
            </w:tcBorders>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1451"/>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19</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机械化屠宰厂仓储冷链项目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主要建设物流仓库、冷藏配送车间、肉产品加工车间、冷冻冷藏库、冷链车及配送点，打造一个冷冻、冷藏、加工、包装、物流配送为一体的现代物流中心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2500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仙游县食品公司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20</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中央厨房建设项目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在瑞峰产业园内租赁厂房</w:t>
            </w:r>
            <w:r>
              <w:rPr>
                <w:rFonts w:ascii="宋体" w:eastAsia="宋体" w:hAnsi="宋体" w:cs="宋体" w:hint="eastAsia"/>
                <w:color w:val="000000"/>
                <w:kern w:val="0"/>
                <w:sz w:val="24"/>
                <w:szCs w:val="24"/>
              </w:rPr>
              <w:t>21000</w:t>
            </w:r>
            <w:r>
              <w:rPr>
                <w:rFonts w:ascii="宋体" w:eastAsia="宋体" w:hAnsi="宋体" w:cs="宋体" w:hint="eastAsia"/>
                <w:color w:val="000000"/>
                <w:kern w:val="0"/>
                <w:sz w:val="24"/>
                <w:szCs w:val="24"/>
              </w:rPr>
              <w:t>平方米，计划分三期进行建设，一期为学生餐热链车间、二期为团餐冷链车间、三期为互联网</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速食商务简餐车间，从事仙游城区及周边的餐饮经营及配送服务。物流方面采用</w:t>
            </w:r>
            <w:r>
              <w:rPr>
                <w:rFonts w:ascii="宋体" w:eastAsia="宋体" w:hAnsi="宋体" w:cs="宋体" w:hint="eastAsia"/>
                <w:color w:val="000000"/>
                <w:kern w:val="0"/>
                <w:sz w:val="24"/>
                <w:szCs w:val="24"/>
              </w:rPr>
              <w:t>JMC</w:t>
            </w:r>
            <w:r>
              <w:rPr>
                <w:rFonts w:ascii="宋体" w:eastAsia="宋体" w:hAnsi="宋体" w:cs="宋体" w:hint="eastAsia"/>
                <w:color w:val="000000"/>
                <w:kern w:val="0"/>
                <w:sz w:val="24"/>
                <w:szCs w:val="24"/>
              </w:rPr>
              <w:t>热链专用配送车队，配送范围覆盖半径</w:t>
            </w:r>
            <w:r>
              <w:rPr>
                <w:rFonts w:ascii="宋体" w:eastAsia="宋体" w:hAnsi="宋体" w:cs="宋体" w:hint="eastAsia"/>
                <w:color w:val="000000"/>
                <w:kern w:val="0"/>
                <w:sz w:val="24"/>
                <w:szCs w:val="24"/>
              </w:rPr>
              <w:t>45</w:t>
            </w:r>
            <w:r>
              <w:rPr>
                <w:rFonts w:ascii="宋体" w:eastAsia="宋体" w:hAnsi="宋体" w:cs="宋体" w:hint="eastAsia"/>
                <w:color w:val="000000"/>
                <w:kern w:val="0"/>
                <w:sz w:val="24"/>
                <w:szCs w:val="24"/>
              </w:rPr>
              <w:t>公里，</w:t>
            </w:r>
            <w:r>
              <w:rPr>
                <w:rFonts w:ascii="宋体" w:eastAsia="宋体" w:hAnsi="宋体" w:cs="宋体" w:hint="eastAsia"/>
                <w:color w:val="000000"/>
                <w:kern w:val="0"/>
                <w:sz w:val="24"/>
                <w:szCs w:val="24"/>
              </w:rPr>
              <w:t>30</w:t>
            </w:r>
            <w:r>
              <w:rPr>
                <w:rFonts w:ascii="宋体" w:eastAsia="宋体" w:hAnsi="宋体" w:cs="宋体" w:hint="eastAsia"/>
                <w:color w:val="000000"/>
                <w:kern w:val="0"/>
                <w:sz w:val="24"/>
                <w:szCs w:val="24"/>
              </w:rPr>
              <w:t>分钟内可送达仙游县</w:t>
            </w:r>
            <w:r>
              <w:rPr>
                <w:rFonts w:ascii="宋体" w:eastAsia="宋体" w:hAnsi="宋体" w:cs="宋体" w:hint="eastAsia"/>
                <w:color w:val="000000"/>
                <w:kern w:val="0"/>
                <w:sz w:val="24"/>
                <w:szCs w:val="24"/>
              </w:rPr>
              <w:t>10</w:t>
            </w:r>
            <w:r>
              <w:rPr>
                <w:rFonts w:ascii="宋体" w:eastAsia="宋体" w:hAnsi="宋体" w:cs="宋体" w:hint="eastAsia"/>
                <w:color w:val="000000"/>
                <w:kern w:val="0"/>
                <w:sz w:val="24"/>
                <w:szCs w:val="24"/>
              </w:rPr>
              <w:t>个乡镇</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爱苗（福建）餐饮管理有限公司</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福建省诚丰餐饮集团有限公司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1854"/>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辉特电商物流总部基地项目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总建筑面积</w:t>
            </w:r>
            <w:r>
              <w:rPr>
                <w:rFonts w:ascii="宋体" w:eastAsia="宋体" w:hAnsi="宋体" w:cs="宋体" w:hint="eastAsia"/>
                <w:color w:val="000000"/>
                <w:kern w:val="0"/>
                <w:sz w:val="24"/>
                <w:szCs w:val="24"/>
              </w:rPr>
              <w:t>22</w:t>
            </w:r>
            <w:r>
              <w:rPr>
                <w:rFonts w:ascii="宋体" w:eastAsia="宋体" w:hAnsi="宋体" w:cs="宋体" w:hint="eastAsia"/>
                <w:color w:val="000000"/>
                <w:kern w:val="0"/>
                <w:sz w:val="24"/>
                <w:szCs w:val="24"/>
              </w:rPr>
              <w:t>万平方米</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以建设仙游电商物流总部基地为支撑，与京东集团、四通一达合作，整合电商物流产业链，优化配置电商物流行业资源，着力打造电商物流产业经济基地、建设产业电商物流经济集群，培育引进电商上下游生产制造、产品营销、物流运输、金融服务等企业入驻园区。</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辉特置业集团</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1184"/>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冷链物流产业园项目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福建省海丰投资有限公司与中经运冷链物流集团拟共同出资</w:t>
            </w:r>
            <w:r>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亿元冷链物流升级项目，拟在枫亭高速出口用地</w:t>
            </w:r>
            <w:r>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亩地，投资建设集冷链物流、农场品集散中心及中央厨房配送中心于一体的综</w:t>
            </w:r>
            <w:r>
              <w:rPr>
                <w:rFonts w:ascii="宋体" w:eastAsia="宋体" w:hAnsi="宋体" w:cs="宋体" w:hint="eastAsia"/>
                <w:color w:val="000000"/>
                <w:kern w:val="0"/>
                <w:sz w:val="24"/>
                <w:szCs w:val="24"/>
              </w:rPr>
              <w:lastRenderedPageBreak/>
              <w:t>合项目</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北京中经运冷链物流集团有限公司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789"/>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23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栢合冷链物流园项目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w:t>
            </w:r>
            <w:r>
              <w:rPr>
                <w:rFonts w:ascii="宋体" w:eastAsia="宋体" w:hAnsi="宋体" w:cs="宋体" w:hint="eastAsia"/>
                <w:color w:val="000000"/>
                <w:kern w:val="0"/>
                <w:sz w:val="24"/>
                <w:szCs w:val="24"/>
              </w:rPr>
              <w:t>5000</w:t>
            </w:r>
            <w:r>
              <w:rPr>
                <w:rFonts w:ascii="宋体" w:eastAsia="宋体" w:hAnsi="宋体" w:cs="宋体" w:hint="eastAsia"/>
                <w:color w:val="000000"/>
                <w:kern w:val="0"/>
                <w:sz w:val="24"/>
                <w:szCs w:val="24"/>
              </w:rPr>
              <w:t>㎡的医疗器械、试剂的冷链仓储配套设施，其中</w:t>
            </w:r>
            <w:r>
              <w:rPr>
                <w:rFonts w:ascii="宋体" w:eastAsia="宋体" w:hAnsi="宋体" w:cs="宋体" w:hint="eastAsia"/>
                <w:color w:val="000000"/>
                <w:kern w:val="0"/>
                <w:sz w:val="24"/>
                <w:szCs w:val="24"/>
              </w:rPr>
              <w:t>1000</w:t>
            </w:r>
            <w:r>
              <w:rPr>
                <w:rFonts w:ascii="宋体" w:eastAsia="宋体" w:hAnsi="宋体" w:cs="宋体" w:hint="eastAsia"/>
                <w:color w:val="000000"/>
                <w:kern w:val="0"/>
                <w:sz w:val="24"/>
                <w:szCs w:val="24"/>
              </w:rPr>
              <w:t>㎡冷库、物流车及管理软件等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栢合物流有限公司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1743"/>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丰树物流项目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项目用地约</w:t>
            </w:r>
            <w:r>
              <w:rPr>
                <w:rFonts w:ascii="宋体" w:eastAsia="宋体" w:hAnsi="宋体" w:cs="宋体" w:hint="eastAsia"/>
                <w:color w:val="000000"/>
                <w:kern w:val="0"/>
                <w:sz w:val="24"/>
                <w:szCs w:val="24"/>
              </w:rPr>
              <w:t>170.8</w:t>
            </w:r>
            <w:r>
              <w:rPr>
                <w:rFonts w:ascii="宋体" w:eastAsia="宋体" w:hAnsi="宋体" w:cs="宋体" w:hint="eastAsia"/>
                <w:color w:val="000000"/>
                <w:kern w:val="0"/>
                <w:sz w:val="24"/>
                <w:szCs w:val="24"/>
              </w:rPr>
              <w:t>亩项目，将建成高标准、现代化的仓储物流设施。目前设计总建筑面积达</w:t>
            </w:r>
            <w:r>
              <w:rPr>
                <w:rFonts w:ascii="宋体" w:eastAsia="宋体" w:hAnsi="宋体" w:cs="宋体" w:hint="eastAsia"/>
                <w:color w:val="000000"/>
                <w:kern w:val="0"/>
                <w:sz w:val="24"/>
                <w:szCs w:val="24"/>
              </w:rPr>
              <w:t>63,467</w:t>
            </w:r>
            <w:r>
              <w:rPr>
                <w:rFonts w:ascii="宋体" w:eastAsia="宋体" w:hAnsi="宋体" w:cs="宋体" w:hint="eastAsia"/>
                <w:color w:val="000000"/>
                <w:kern w:val="0"/>
                <w:sz w:val="24"/>
                <w:szCs w:val="24"/>
              </w:rPr>
              <w:t>㎡，设施层净高可达</w:t>
            </w:r>
            <w:r>
              <w:rPr>
                <w:rFonts w:ascii="宋体" w:eastAsia="宋体" w:hAnsi="宋体" w:cs="宋体" w:hint="eastAsia"/>
                <w:color w:val="000000"/>
                <w:kern w:val="0"/>
                <w:sz w:val="24"/>
                <w:szCs w:val="24"/>
              </w:rPr>
              <w:t>9m</w:t>
            </w:r>
            <w:r>
              <w:rPr>
                <w:rFonts w:ascii="宋体" w:eastAsia="宋体" w:hAnsi="宋体" w:cs="宋体" w:hint="eastAsia"/>
                <w:color w:val="000000"/>
                <w:kern w:val="0"/>
                <w:sz w:val="24"/>
                <w:szCs w:val="24"/>
              </w:rPr>
              <w:t>（层高超过</w:t>
            </w:r>
            <w:r>
              <w:rPr>
                <w:rFonts w:ascii="宋体" w:eastAsia="宋体" w:hAnsi="宋体" w:cs="宋体" w:hint="eastAsia"/>
                <w:color w:val="000000"/>
                <w:kern w:val="0"/>
                <w:sz w:val="24"/>
                <w:szCs w:val="24"/>
              </w:rPr>
              <w:t>11m</w:t>
            </w:r>
            <w:r>
              <w:rPr>
                <w:rFonts w:ascii="宋体" w:eastAsia="宋体" w:hAnsi="宋体" w:cs="宋体" w:hint="eastAsia"/>
                <w:color w:val="000000"/>
                <w:kern w:val="0"/>
                <w:sz w:val="24"/>
                <w:szCs w:val="24"/>
              </w:rPr>
              <w:t>），荷载达到</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吨</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㎡，设外置月台，可供大型集卡车辆快速卸货，提高货物周转效率</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丰有仓储（莆田）有限公司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永创物流项目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建设办公、宿舍、车间及配套绿化、消防、储运等设施设备，总建筑面积约</w:t>
            </w:r>
            <w:r>
              <w:rPr>
                <w:rFonts w:ascii="宋体" w:eastAsia="宋体" w:hAnsi="宋体" w:cs="宋体" w:hint="eastAsia"/>
                <w:color w:val="000000"/>
                <w:kern w:val="0"/>
                <w:sz w:val="24"/>
                <w:szCs w:val="24"/>
              </w:rPr>
              <w:t>44260</w:t>
            </w:r>
            <w:r>
              <w:rPr>
                <w:rFonts w:ascii="宋体" w:eastAsia="宋体" w:hAnsi="宋体" w:cs="宋体" w:hint="eastAsia"/>
                <w:color w:val="000000"/>
                <w:kern w:val="0"/>
                <w:sz w:val="24"/>
                <w:szCs w:val="24"/>
              </w:rPr>
              <w:t>㎡，以及建设</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条生产线</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19670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福建永创物流有限公司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诚壹实业冷链物流（秀屿）产业园建设项目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建设两座零下</w:t>
            </w:r>
            <w:r>
              <w:rPr>
                <w:rFonts w:ascii="宋体" w:eastAsia="宋体" w:hAnsi="宋体" w:cs="宋体" w:hint="eastAsia"/>
                <w:color w:val="000000"/>
                <w:kern w:val="0"/>
                <w:sz w:val="24"/>
                <w:szCs w:val="24"/>
              </w:rPr>
              <w:t>18</w:t>
            </w:r>
            <w:r>
              <w:rPr>
                <w:rFonts w:ascii="宋体" w:eastAsia="宋体" w:hAnsi="宋体" w:cs="宋体" w:hint="eastAsia"/>
                <w:color w:val="000000"/>
                <w:kern w:val="0"/>
                <w:sz w:val="24"/>
                <w:szCs w:val="24"/>
              </w:rPr>
              <w:t>度冷藏库，存储量为</w:t>
            </w:r>
            <w:r>
              <w:rPr>
                <w:rFonts w:ascii="宋体" w:eastAsia="宋体" w:hAnsi="宋体" w:cs="宋体" w:hint="eastAsia"/>
                <w:color w:val="000000"/>
                <w:kern w:val="0"/>
                <w:sz w:val="24"/>
                <w:szCs w:val="24"/>
              </w:rPr>
              <w:t>4.5</w:t>
            </w:r>
            <w:r>
              <w:rPr>
                <w:rFonts w:ascii="宋体" w:eastAsia="宋体" w:hAnsi="宋体" w:cs="宋体" w:hint="eastAsia"/>
                <w:color w:val="000000"/>
                <w:kern w:val="0"/>
                <w:sz w:val="24"/>
                <w:szCs w:val="24"/>
              </w:rPr>
              <w:t>万吨，一座水产肉类生产加工基地，一座集研发及办公楼，可用于办公、食堂、宿舍等，周边市场办公配套</w:t>
            </w:r>
            <w:r>
              <w:rPr>
                <w:rFonts w:ascii="宋体" w:eastAsia="宋体" w:hAnsi="宋体" w:cs="宋体" w:hint="eastAsia"/>
                <w:color w:val="000000"/>
                <w:kern w:val="0"/>
                <w:sz w:val="24"/>
                <w:szCs w:val="24"/>
              </w:rPr>
              <w:t>200</w:t>
            </w:r>
            <w:r>
              <w:rPr>
                <w:rFonts w:ascii="宋体" w:eastAsia="宋体" w:hAnsi="宋体" w:cs="宋体" w:hint="eastAsia"/>
                <w:color w:val="000000"/>
                <w:kern w:val="0"/>
                <w:sz w:val="24"/>
                <w:szCs w:val="24"/>
              </w:rPr>
              <w:t>个洽谈室；项目配套：冷冻设备、大型机房、污水处理池、锅炉等，项目园区绿化等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福建诚壹实业有限公司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bCs/>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27</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国投湄洲湾港口煤炭码头二期工程二阶段</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北岸</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对原规划二期海域未填海造地部分继续建设堆场及相应配套设施，新建</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个</w:t>
            </w:r>
            <w:r>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万吨级装船泊位、新建一个</w:t>
            </w:r>
            <w:r>
              <w:rPr>
                <w:rFonts w:ascii="宋体" w:eastAsia="宋体" w:hAnsi="宋体" w:cs="宋体" w:hint="eastAsia"/>
                <w:color w:val="000000"/>
                <w:kern w:val="0"/>
                <w:sz w:val="24"/>
                <w:szCs w:val="24"/>
              </w:rPr>
              <w:t>25</w:t>
            </w:r>
            <w:r>
              <w:rPr>
                <w:rFonts w:ascii="宋体" w:eastAsia="宋体" w:hAnsi="宋体" w:cs="宋体" w:hint="eastAsia"/>
                <w:color w:val="000000"/>
                <w:kern w:val="0"/>
                <w:sz w:val="24"/>
                <w:szCs w:val="24"/>
              </w:rPr>
              <w:t>万吨级卸船泊位</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国投湄洲湾港口有限公司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28</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滨海仓储物流基地</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占地约</w:t>
            </w:r>
            <w:r>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亩，主要进行仓储物流等配套设施建设。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东海镇人民政府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29</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北埭游艇码</w:t>
            </w:r>
            <w:r>
              <w:rPr>
                <w:rFonts w:ascii="宋体" w:eastAsia="宋体" w:hAnsi="宋体" w:cs="宋体" w:hint="eastAsia"/>
                <w:color w:val="000000"/>
                <w:kern w:val="0"/>
                <w:sz w:val="24"/>
                <w:szCs w:val="24"/>
              </w:rPr>
              <w:lastRenderedPageBreak/>
              <w:t>头</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lastRenderedPageBreak/>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w:t>
            </w:r>
            <w:r>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个码头，其中轮渡码头</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个，渔港码头</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lastRenderedPageBreak/>
              <w:t>个，游船码头</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个；拟开辟环岛游航等航线。配套俱乐部会所、游艇展示及维护维修区域等设施。</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30</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智慧电商物流园项目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用地约</w:t>
            </w:r>
            <w:r>
              <w:rPr>
                <w:rFonts w:ascii="宋体" w:eastAsia="宋体" w:hAnsi="宋体" w:cs="宋体" w:hint="eastAsia"/>
                <w:color w:val="000000"/>
                <w:kern w:val="0"/>
                <w:sz w:val="24"/>
                <w:szCs w:val="24"/>
              </w:rPr>
              <w:t>340</w:t>
            </w:r>
            <w:r>
              <w:rPr>
                <w:rFonts w:ascii="宋体" w:eastAsia="宋体" w:hAnsi="宋体" w:cs="宋体" w:hint="eastAsia"/>
                <w:color w:val="000000"/>
                <w:kern w:val="0"/>
                <w:sz w:val="24"/>
                <w:szCs w:val="24"/>
              </w:rPr>
              <w:t>亩，总建筑面积</w:t>
            </w:r>
            <w:r>
              <w:rPr>
                <w:rFonts w:ascii="宋体" w:eastAsia="宋体" w:hAnsi="宋体" w:cs="宋体" w:hint="eastAsia"/>
                <w:color w:val="000000"/>
                <w:kern w:val="0"/>
                <w:sz w:val="24"/>
                <w:szCs w:val="24"/>
              </w:rPr>
              <w:t>34</w:t>
            </w:r>
            <w:r>
              <w:rPr>
                <w:rFonts w:ascii="宋体" w:eastAsia="宋体" w:hAnsi="宋体" w:cs="宋体" w:hint="eastAsia"/>
                <w:color w:val="000000"/>
                <w:kern w:val="0"/>
                <w:sz w:val="24"/>
                <w:szCs w:val="24"/>
              </w:rPr>
              <w:t>万平方米，通过导入高端快递企业，“互联网</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产业服务”和“快递</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高端物流”的双核驱动，打造区域性现代产业创新、协同发展的产业服务型园区，构建特色的产业服务生态圈，计划建设快递分拨中心、仓储物流中心等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福建省闽招物流园区建设开发有限公司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13100" w:type="dxa"/>
            <w:gridSpan w:val="9"/>
            <w:vAlign w:val="center"/>
          </w:tcPr>
          <w:p w:rsidR="000816CE" w:rsidRDefault="00FC7BEB">
            <w:pPr>
              <w:widowControl/>
              <w:spacing w:line="240" w:lineRule="auto"/>
              <w:ind w:firstLineChars="0" w:firstLine="0"/>
              <w:jc w:val="left"/>
              <w:textAlignment w:val="center"/>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科技信息</w:t>
            </w:r>
          </w:p>
        </w:tc>
        <w:tc>
          <w:tcPr>
            <w:tcW w:w="1047" w:type="dxa"/>
            <w:vAlign w:val="center"/>
          </w:tcPr>
          <w:p w:rsidR="000816CE" w:rsidRDefault="000816CE">
            <w:pPr>
              <w:widowControl/>
              <w:spacing w:line="240" w:lineRule="auto"/>
              <w:ind w:firstLineChars="0" w:firstLine="0"/>
              <w:jc w:val="center"/>
              <w:textAlignment w:val="center"/>
              <w:rPr>
                <w:rFonts w:ascii="宋体" w:eastAsia="宋体" w:hAnsi="宋体" w:cs="宋体"/>
                <w:b/>
                <w:bCs/>
                <w:color w:val="000000"/>
                <w:kern w:val="0"/>
                <w:sz w:val="24"/>
                <w:szCs w:val="24"/>
              </w:rPr>
            </w:pP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中电科创先导区</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租用九龙小区办公楼</w:t>
            </w:r>
            <w:r>
              <w:rPr>
                <w:rFonts w:ascii="宋体" w:eastAsia="宋体" w:hAnsi="宋体" w:cs="宋体" w:hint="eastAsia"/>
                <w:color w:val="000000"/>
                <w:sz w:val="24"/>
                <w:szCs w:val="24"/>
              </w:rPr>
              <w:t>A</w:t>
            </w:r>
            <w:r>
              <w:rPr>
                <w:rFonts w:ascii="宋体" w:eastAsia="宋体" w:hAnsi="宋体" w:cs="宋体" w:hint="eastAsia"/>
                <w:color w:val="000000"/>
                <w:sz w:val="24"/>
                <w:szCs w:val="24"/>
              </w:rPr>
              <w:t>幢，总建筑面积约</w:t>
            </w:r>
            <w:r>
              <w:rPr>
                <w:rFonts w:ascii="宋体" w:eastAsia="宋体" w:hAnsi="宋体" w:cs="宋体" w:hint="eastAsia"/>
                <w:color w:val="000000"/>
                <w:sz w:val="24"/>
                <w:szCs w:val="24"/>
              </w:rPr>
              <w:t>2.74</w:t>
            </w:r>
            <w:r>
              <w:rPr>
                <w:rFonts w:ascii="宋体" w:eastAsia="宋体" w:hAnsi="宋体" w:cs="宋体" w:hint="eastAsia"/>
                <w:color w:val="000000"/>
                <w:sz w:val="24"/>
                <w:szCs w:val="24"/>
              </w:rPr>
              <w:t>万㎡，地上</w:t>
            </w:r>
            <w:r>
              <w:rPr>
                <w:rFonts w:ascii="宋体" w:eastAsia="宋体" w:hAnsi="宋体" w:cs="宋体" w:hint="eastAsia"/>
                <w:color w:val="000000"/>
                <w:sz w:val="24"/>
                <w:szCs w:val="24"/>
              </w:rPr>
              <w:t>23</w:t>
            </w:r>
            <w:r>
              <w:rPr>
                <w:rFonts w:ascii="宋体" w:eastAsia="宋体" w:hAnsi="宋体" w:cs="宋体" w:hint="eastAsia"/>
                <w:color w:val="000000"/>
                <w:sz w:val="24"/>
                <w:szCs w:val="24"/>
              </w:rPr>
              <w:t>层，地下</w:t>
            </w:r>
            <w:r>
              <w:rPr>
                <w:rFonts w:ascii="宋体" w:eastAsia="宋体" w:hAnsi="宋体" w:cs="宋体" w:hint="eastAsia"/>
                <w:color w:val="000000"/>
                <w:sz w:val="24"/>
                <w:szCs w:val="24"/>
              </w:rPr>
              <w:t>2</w:t>
            </w:r>
            <w:r>
              <w:rPr>
                <w:rFonts w:ascii="宋体" w:eastAsia="宋体" w:hAnsi="宋体" w:cs="宋体" w:hint="eastAsia"/>
                <w:color w:val="000000"/>
                <w:sz w:val="24"/>
                <w:szCs w:val="24"/>
              </w:rPr>
              <w:t>层，进行装修改造。</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2020-2021</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福建木兰科创城开发有限公司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智慧湄洲北斗应用项目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结合北斗</w:t>
            </w:r>
            <w:r>
              <w:rPr>
                <w:rFonts w:ascii="宋体" w:eastAsia="宋体" w:hAnsi="宋体" w:cs="宋体" w:hint="eastAsia"/>
                <w:color w:val="000000"/>
                <w:sz w:val="24"/>
                <w:szCs w:val="24"/>
              </w:rPr>
              <w:t>3</w:t>
            </w:r>
            <w:r>
              <w:rPr>
                <w:rFonts w:ascii="宋体" w:eastAsia="宋体" w:hAnsi="宋体" w:cs="宋体" w:hint="eastAsia"/>
                <w:color w:val="000000"/>
                <w:sz w:val="24"/>
                <w:szCs w:val="24"/>
              </w:rPr>
              <w:t>代、卫星遥感、</w:t>
            </w:r>
            <w:r>
              <w:rPr>
                <w:rFonts w:ascii="宋体" w:eastAsia="宋体" w:hAnsi="宋体" w:cs="宋体" w:hint="eastAsia"/>
                <w:color w:val="000000"/>
                <w:sz w:val="24"/>
                <w:szCs w:val="24"/>
              </w:rPr>
              <w:t>AI</w:t>
            </w:r>
            <w:r>
              <w:rPr>
                <w:rFonts w:ascii="宋体" w:eastAsia="宋体" w:hAnsi="宋体" w:cs="宋体" w:hint="eastAsia"/>
                <w:color w:val="000000"/>
                <w:sz w:val="24"/>
                <w:szCs w:val="24"/>
              </w:rPr>
              <w:t>、大数据、物联网等技术，重点在智慧城管、智慧旅游、智慧交通、智慧海洋等信息化技术应用</w:t>
            </w:r>
            <w:r>
              <w:rPr>
                <w:rFonts w:ascii="宋体" w:eastAsia="宋体" w:hAnsi="宋体" w:cs="宋体" w:hint="eastAsia"/>
                <w:color w:val="000000"/>
                <w:sz w:val="24"/>
                <w:szCs w:val="24"/>
              </w:rPr>
              <w:t>,</w:t>
            </w:r>
            <w:r>
              <w:rPr>
                <w:rFonts w:ascii="宋体" w:eastAsia="宋体" w:hAnsi="宋体" w:cs="宋体" w:hint="eastAsia"/>
                <w:color w:val="000000"/>
                <w:sz w:val="24"/>
                <w:szCs w:val="24"/>
              </w:rPr>
              <w:t>建设湄洲岛智慧管控中心可容纳多部门多平台一体化办公系统。</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2021-2023</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在建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政校共建研学基地</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通过回购天乐休闲中心地块，同莆田学院合作共建研学基地，建设教学行政用房</w:t>
            </w:r>
            <w:r>
              <w:rPr>
                <w:rFonts w:ascii="宋体" w:eastAsia="宋体" w:hAnsi="宋体" w:cs="宋体" w:hint="eastAsia"/>
                <w:color w:val="000000"/>
                <w:sz w:val="24"/>
                <w:szCs w:val="24"/>
              </w:rPr>
              <w:t>5600</w:t>
            </w:r>
            <w:r>
              <w:rPr>
                <w:rFonts w:ascii="宋体" w:eastAsia="宋体" w:hAnsi="宋体" w:cs="宋体" w:hint="eastAsia"/>
                <w:color w:val="000000"/>
                <w:sz w:val="24"/>
                <w:szCs w:val="24"/>
              </w:rPr>
              <w:t>平方米、宿舍</w:t>
            </w:r>
            <w:r>
              <w:rPr>
                <w:rFonts w:ascii="宋体" w:eastAsia="宋体" w:hAnsi="宋体" w:cs="宋体" w:hint="eastAsia"/>
                <w:color w:val="000000"/>
                <w:sz w:val="24"/>
                <w:szCs w:val="24"/>
              </w:rPr>
              <w:t>2600</w:t>
            </w:r>
            <w:r>
              <w:rPr>
                <w:rFonts w:ascii="宋体" w:eastAsia="宋体" w:hAnsi="宋体" w:cs="宋体" w:hint="eastAsia"/>
                <w:color w:val="000000"/>
                <w:sz w:val="24"/>
                <w:szCs w:val="24"/>
              </w:rPr>
              <w:t>平方米。</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2021-2023</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在建</w:t>
            </w:r>
          </w:p>
        </w:tc>
      </w:tr>
      <w:tr w:rsidR="000816CE">
        <w:trPr>
          <w:trHeight w:val="1041"/>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智慧海岛项目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推进智慧城市基础设施建设，实现全岛</w:t>
            </w:r>
            <w:r>
              <w:rPr>
                <w:rFonts w:ascii="宋体" w:eastAsia="宋体" w:hAnsi="宋体" w:cs="宋体" w:hint="eastAsia"/>
                <w:color w:val="000000"/>
                <w:sz w:val="24"/>
                <w:szCs w:val="24"/>
              </w:rPr>
              <w:t>5G</w:t>
            </w:r>
            <w:r>
              <w:rPr>
                <w:rFonts w:ascii="宋体" w:eastAsia="宋体" w:hAnsi="宋体" w:cs="宋体" w:hint="eastAsia"/>
                <w:color w:val="000000"/>
                <w:sz w:val="24"/>
                <w:szCs w:val="24"/>
              </w:rPr>
              <w:t>网络全覆盖，开展智慧旅游、智能社区、智慧管理、智慧交通、智慧教育等</w:t>
            </w:r>
            <w:r>
              <w:rPr>
                <w:rFonts w:ascii="宋体" w:eastAsia="宋体" w:hAnsi="宋体" w:cs="宋体" w:hint="eastAsia"/>
                <w:color w:val="000000"/>
                <w:sz w:val="24"/>
                <w:szCs w:val="24"/>
              </w:rPr>
              <w:t>5G</w:t>
            </w:r>
            <w:r>
              <w:rPr>
                <w:rFonts w:ascii="宋体" w:eastAsia="宋体" w:hAnsi="宋体" w:cs="宋体" w:hint="eastAsia"/>
                <w:color w:val="000000"/>
                <w:sz w:val="24"/>
                <w:szCs w:val="24"/>
              </w:rPr>
              <w:t>场景应用。</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2019-2025</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在建</w:t>
            </w:r>
          </w:p>
        </w:tc>
      </w:tr>
      <w:tr w:rsidR="000816CE">
        <w:trPr>
          <w:trHeight w:val="1933"/>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药械产业数字供应链云平台</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通过整合升级药械阳光采购系统、统一医院采购管理系统、对接供应商</w:t>
            </w:r>
            <w:r>
              <w:rPr>
                <w:rFonts w:ascii="宋体" w:eastAsia="宋体" w:hAnsi="宋体" w:cs="宋体" w:hint="eastAsia"/>
                <w:color w:val="000000"/>
                <w:kern w:val="0"/>
                <w:sz w:val="24"/>
                <w:szCs w:val="24"/>
              </w:rPr>
              <w:t>ERP</w:t>
            </w:r>
            <w:r>
              <w:rPr>
                <w:rFonts w:ascii="宋体" w:eastAsia="宋体" w:hAnsi="宋体" w:cs="宋体" w:hint="eastAsia"/>
                <w:color w:val="000000"/>
                <w:kern w:val="0"/>
                <w:sz w:val="24"/>
                <w:szCs w:val="24"/>
              </w:rPr>
              <w:t>系统，开发集成各个系统的联通模块，统一数据标准，统一编码，完成各系统间数据汇集，实现各系统间数据互联互通，实现药械厂商电商化销售、医院数字化采购。</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福建莆田电商投资管理股份有限公司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在建</w:t>
            </w:r>
          </w:p>
        </w:tc>
      </w:tr>
      <w:tr w:rsidR="000816CE">
        <w:trPr>
          <w:trHeight w:val="16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石门澳产业园智慧园区科研综合服务中心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主要建设内容为</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8</w:t>
            </w:r>
            <w:r>
              <w:rPr>
                <w:rFonts w:ascii="宋体" w:eastAsia="宋体" w:hAnsi="宋体" w:cs="宋体" w:hint="eastAsia"/>
                <w:color w:val="000000"/>
                <w:kern w:val="0"/>
                <w:sz w:val="24"/>
                <w:szCs w:val="24"/>
              </w:rPr>
              <w:t>层综合楼及</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层附属楼，包括应急救援中心、研发科创中心、综合服务中心、智能化系统、信息支撑平台、能源管理、物流运输、公共服务设施等。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石门澳产业园管委会</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在建</w:t>
            </w:r>
          </w:p>
        </w:tc>
      </w:tr>
      <w:tr w:rsidR="000816CE">
        <w:trPr>
          <w:trHeight w:val="1417"/>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7</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木材交易产业互联网平台</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依托互联网、物联网、大数据、移动互联等全新技术手段，通过线下多个“中木智慧”产业园和线上“采木”网双品牌双平台深度融合，打造木材大宗商品全产业链一体化服务平台</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福建采木工业互联网科技有限公司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在建</w:t>
            </w:r>
          </w:p>
        </w:tc>
      </w:tr>
      <w:tr w:rsidR="000816CE">
        <w:trPr>
          <w:trHeight w:val="2468"/>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8</w:t>
            </w:r>
          </w:p>
        </w:tc>
        <w:tc>
          <w:tcPr>
            <w:tcW w:w="1449" w:type="dxa"/>
            <w:gridSpan w:val="2"/>
            <w:vAlign w:val="center"/>
          </w:tcPr>
          <w:p w:rsidR="000816CE" w:rsidRDefault="00FC7BEB">
            <w:pPr>
              <w:widowControl/>
              <w:spacing w:line="240" w:lineRule="auto"/>
              <w:ind w:firstLineChars="0" w:firstLine="0"/>
              <w:jc w:val="center"/>
              <w:rPr>
                <w:rFonts w:ascii="宋体" w:eastAsia="宋体" w:hAnsi="宋体" w:cs="宋体"/>
                <w:color w:val="000000"/>
                <w:kern w:val="0"/>
                <w:sz w:val="24"/>
                <w:szCs w:val="24"/>
              </w:rPr>
            </w:pPr>
            <w:r>
              <w:rPr>
                <w:rFonts w:ascii="宋体" w:eastAsia="宋体" w:hAnsi="宋体" w:hint="eastAsia"/>
                <w:kern w:val="0"/>
                <w:sz w:val="24"/>
                <w:szCs w:val="24"/>
              </w:rPr>
              <w:t>莆田市凯特数字智慧印刷用地项目</w:t>
            </w:r>
          </w:p>
        </w:tc>
        <w:tc>
          <w:tcPr>
            <w:tcW w:w="1206" w:type="dxa"/>
            <w:vAlign w:val="center"/>
          </w:tcPr>
          <w:p w:rsidR="000816CE" w:rsidRDefault="00FC7BEB">
            <w:pPr>
              <w:widowControl/>
              <w:spacing w:line="240" w:lineRule="auto"/>
              <w:ind w:firstLineChars="0" w:firstLine="0"/>
              <w:jc w:val="center"/>
              <w:rPr>
                <w:rFonts w:ascii="宋体" w:eastAsia="宋体" w:hAnsi="宋体" w:cs="宋体"/>
                <w:color w:val="000000"/>
                <w:kern w:val="0"/>
                <w:sz w:val="24"/>
                <w:szCs w:val="24"/>
              </w:rPr>
            </w:pPr>
            <w:r>
              <w:rPr>
                <w:rFonts w:ascii="宋体" w:eastAsia="宋体" w:hAnsi="宋体" w:hint="eastAsia"/>
                <w:kern w:val="0"/>
                <w:sz w:val="24"/>
                <w:szCs w:val="24"/>
              </w:rPr>
              <w:t>城厢区</w:t>
            </w:r>
          </w:p>
        </w:tc>
        <w:tc>
          <w:tcPr>
            <w:tcW w:w="5372" w:type="dxa"/>
            <w:vAlign w:val="center"/>
          </w:tcPr>
          <w:p w:rsidR="000816CE" w:rsidRDefault="00FC7BEB">
            <w:pPr>
              <w:widowControl/>
              <w:spacing w:line="240" w:lineRule="auto"/>
              <w:ind w:firstLineChars="0" w:firstLine="0"/>
              <w:jc w:val="center"/>
              <w:rPr>
                <w:rFonts w:ascii="宋体" w:eastAsia="宋体" w:hAnsi="宋体" w:cs="宋体"/>
                <w:color w:val="000000"/>
                <w:kern w:val="0"/>
                <w:sz w:val="24"/>
                <w:szCs w:val="24"/>
              </w:rPr>
            </w:pPr>
            <w:r>
              <w:rPr>
                <w:rFonts w:ascii="宋体" w:eastAsia="宋体" w:hAnsi="宋体"/>
                <w:kern w:val="0"/>
                <w:sz w:val="24"/>
                <w:szCs w:val="24"/>
              </w:rPr>
              <w:t>1</w:t>
            </w:r>
            <w:r>
              <w:rPr>
                <w:rFonts w:ascii="宋体" w:eastAsia="宋体" w:hAnsi="宋体" w:hint="eastAsia"/>
                <w:kern w:val="0"/>
                <w:sz w:val="24"/>
                <w:szCs w:val="24"/>
              </w:rPr>
              <w:t>、同深圳龙道科技公司、湖南工业大学、上海殷晟网络科技、台湾布莱特数码科技、富士施乐公司、惠普公司等合作成立研发中心；</w:t>
            </w:r>
            <w:r>
              <w:rPr>
                <w:rFonts w:ascii="宋体" w:eastAsia="宋体" w:hAnsi="宋体"/>
                <w:kern w:val="0"/>
                <w:sz w:val="24"/>
                <w:szCs w:val="24"/>
              </w:rPr>
              <w:t>2</w:t>
            </w:r>
            <w:r>
              <w:rPr>
                <w:rFonts w:ascii="宋体" w:eastAsia="宋体" w:hAnsi="宋体" w:hint="eastAsia"/>
                <w:kern w:val="0"/>
                <w:sz w:val="24"/>
                <w:szCs w:val="24"/>
              </w:rPr>
              <w:t>、购置国际领先的生产加工设备建设在</w:t>
            </w:r>
            <w:r>
              <w:rPr>
                <w:rFonts w:ascii="宋体" w:eastAsia="宋体" w:hAnsi="宋体"/>
                <w:kern w:val="0"/>
                <w:sz w:val="24"/>
                <w:szCs w:val="24"/>
              </w:rPr>
              <w:t>5G</w:t>
            </w:r>
            <w:r>
              <w:rPr>
                <w:rFonts w:ascii="宋体" w:eastAsia="宋体" w:hAnsi="宋体" w:hint="eastAsia"/>
                <w:kern w:val="0"/>
                <w:sz w:val="24"/>
                <w:szCs w:val="24"/>
              </w:rPr>
              <w:t>场景下的现代化智慧生产车间；</w:t>
            </w:r>
            <w:r>
              <w:rPr>
                <w:rFonts w:ascii="宋体" w:eastAsia="宋体" w:hAnsi="宋体"/>
                <w:kern w:val="0"/>
                <w:sz w:val="24"/>
                <w:szCs w:val="24"/>
              </w:rPr>
              <w:t>3</w:t>
            </w:r>
            <w:r>
              <w:rPr>
                <w:rFonts w:ascii="宋体" w:eastAsia="宋体" w:hAnsi="宋体" w:hint="eastAsia"/>
                <w:kern w:val="0"/>
                <w:sz w:val="24"/>
                <w:szCs w:val="24"/>
              </w:rPr>
              <w:t>、建设独立的凯特数据中心、新媒体展示中心、电子商务直播基地；</w:t>
            </w:r>
            <w:r>
              <w:rPr>
                <w:rFonts w:ascii="宋体" w:eastAsia="宋体" w:hAnsi="宋体"/>
                <w:kern w:val="0"/>
                <w:sz w:val="24"/>
                <w:szCs w:val="24"/>
              </w:rPr>
              <w:t>4</w:t>
            </w:r>
            <w:r>
              <w:rPr>
                <w:rFonts w:ascii="宋体" w:eastAsia="宋体" w:hAnsi="宋体" w:hint="eastAsia"/>
                <w:kern w:val="0"/>
                <w:sz w:val="24"/>
                <w:szCs w:val="24"/>
              </w:rPr>
              <w:t>、建设面向国内外的工艺美术、家居文化用品、仓储物流基地。</w:t>
            </w:r>
          </w:p>
        </w:tc>
        <w:tc>
          <w:tcPr>
            <w:tcW w:w="1697" w:type="dxa"/>
            <w:vAlign w:val="center"/>
          </w:tcPr>
          <w:p w:rsidR="000816CE" w:rsidRDefault="00FC7BEB">
            <w:pPr>
              <w:widowControl/>
              <w:spacing w:line="240" w:lineRule="auto"/>
              <w:ind w:firstLineChars="0" w:firstLine="0"/>
              <w:jc w:val="center"/>
              <w:rPr>
                <w:rFonts w:ascii="宋体" w:eastAsia="宋体" w:hAnsi="宋体" w:cs="宋体"/>
                <w:color w:val="000000"/>
                <w:kern w:val="0"/>
                <w:sz w:val="24"/>
                <w:szCs w:val="24"/>
              </w:rPr>
            </w:pPr>
            <w:r>
              <w:rPr>
                <w:rFonts w:ascii="宋体" w:eastAsia="宋体" w:hAnsi="宋体"/>
                <w:kern w:val="0"/>
                <w:sz w:val="24"/>
                <w:szCs w:val="24"/>
              </w:rPr>
              <w:t>8000</w:t>
            </w:r>
          </w:p>
        </w:tc>
        <w:tc>
          <w:tcPr>
            <w:tcW w:w="1313" w:type="dxa"/>
            <w:vAlign w:val="center"/>
          </w:tcPr>
          <w:p w:rsidR="000816CE" w:rsidRDefault="00FC7BEB">
            <w:pPr>
              <w:widowControl/>
              <w:spacing w:line="240" w:lineRule="auto"/>
              <w:ind w:firstLineChars="0" w:firstLine="0"/>
              <w:jc w:val="center"/>
              <w:rPr>
                <w:rFonts w:ascii="宋体" w:eastAsia="宋体" w:hAnsi="宋体" w:cs="宋体"/>
                <w:color w:val="000000"/>
                <w:kern w:val="0"/>
                <w:sz w:val="24"/>
                <w:szCs w:val="24"/>
              </w:rPr>
            </w:pPr>
            <w:r>
              <w:rPr>
                <w:rFonts w:ascii="宋体" w:eastAsia="宋体" w:hAnsi="宋体"/>
                <w:kern w:val="0"/>
                <w:sz w:val="24"/>
                <w:szCs w:val="24"/>
              </w:rPr>
              <w:t>2021-2025</w:t>
            </w:r>
          </w:p>
        </w:tc>
        <w:tc>
          <w:tcPr>
            <w:tcW w:w="1331" w:type="dxa"/>
            <w:gridSpan w:val="2"/>
            <w:vAlign w:val="center"/>
          </w:tcPr>
          <w:p w:rsidR="000816CE" w:rsidRDefault="00FC7BEB">
            <w:pPr>
              <w:widowControl/>
              <w:spacing w:line="240" w:lineRule="auto"/>
              <w:ind w:firstLineChars="0" w:firstLine="0"/>
              <w:jc w:val="center"/>
              <w:rPr>
                <w:rFonts w:ascii="宋体" w:eastAsia="宋体" w:hAnsi="宋体" w:cs="宋体"/>
                <w:color w:val="000000"/>
                <w:kern w:val="0"/>
                <w:sz w:val="24"/>
                <w:szCs w:val="24"/>
              </w:rPr>
            </w:pPr>
            <w:r>
              <w:rPr>
                <w:rFonts w:ascii="宋体" w:eastAsia="宋体" w:hAnsi="宋体" w:hint="eastAsia"/>
                <w:kern w:val="0"/>
                <w:sz w:val="24"/>
                <w:szCs w:val="24"/>
              </w:rPr>
              <w:t>莆田市凯特文印中心</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在建</w:t>
            </w:r>
          </w:p>
        </w:tc>
      </w:tr>
      <w:tr w:rsidR="000816CE">
        <w:trPr>
          <w:trHeight w:val="2018"/>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9</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鞋业“智能制造”研发中心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依托华林园区产业优势，招商引资鞋业研发龙头企业，致力于持续提高我区鞋业开发和结构设计能力，为国内外鞋业品牌商提供系统化服务方案。研发中心将拥有完善的系统研发能力和试验设备，具有各鞋类整体、周边及零部件的设计与开发能力。</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70000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2023-2025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霞林街道办事处</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1728"/>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10</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城厢区知识产权交易中心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以高标准、金融化、国际化为战略定位，服务科技与商业，致力于构建一个更加高效、透明、规范的国际化知识产权交易场所，探索知识产权证券化，打造全球知识产权集散中心和定价中心。助推知识产权的转让、转化与价值实现。</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70000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2023-2025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霞林街道办事处</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1738"/>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“城市大脑”数字智慧中心项目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选址县行政服务中心</w:t>
            </w:r>
            <w:r>
              <w:rPr>
                <w:rFonts w:ascii="宋体" w:eastAsia="宋体" w:hAnsi="宋体" w:cs="宋体" w:hint="eastAsia"/>
                <w:color w:val="000000"/>
                <w:kern w:val="0"/>
                <w:sz w:val="24"/>
                <w:szCs w:val="24"/>
              </w:rPr>
              <w:t>5-6</w:t>
            </w:r>
            <w:r>
              <w:rPr>
                <w:rFonts w:ascii="宋体" w:eastAsia="宋体" w:hAnsi="宋体" w:cs="宋体" w:hint="eastAsia"/>
                <w:color w:val="000000"/>
                <w:kern w:val="0"/>
                <w:sz w:val="24"/>
                <w:szCs w:val="24"/>
              </w:rPr>
              <w:t>层，依托大数据、物联网、视频数据处理技术，对全县监控设备集中联网，进行统一后端处理计算，实行数字政务、智慧交通、平安仙游、深林防火集中化、可视化、平台和管理，建设仙游县城市大脑数字平台</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2024-2026</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县数字办</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鲤北科创城</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拟选址鲤北美食城片区，占地</w:t>
            </w:r>
            <w:r>
              <w:rPr>
                <w:rFonts w:ascii="宋体" w:eastAsia="宋体" w:hAnsi="宋体" w:cs="宋体" w:hint="eastAsia"/>
                <w:color w:val="000000"/>
                <w:kern w:val="0"/>
                <w:sz w:val="24"/>
                <w:szCs w:val="24"/>
              </w:rPr>
              <w:t>15</w:t>
            </w:r>
            <w:r>
              <w:rPr>
                <w:rFonts w:ascii="宋体" w:eastAsia="宋体" w:hAnsi="宋体" w:cs="宋体" w:hint="eastAsia"/>
                <w:color w:val="000000"/>
                <w:kern w:val="0"/>
                <w:sz w:val="24"/>
                <w:szCs w:val="24"/>
              </w:rPr>
              <w:t>亩，建设鲤北科技创新大厦，孵化培育小微初创型科技、金融、服务型企业</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鲤城管委会</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1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莆田市物联网公共服务平台</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莆田市</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加快推动窄带物联网（</w:t>
            </w:r>
            <w:r>
              <w:rPr>
                <w:rFonts w:ascii="宋体" w:eastAsia="宋体" w:hAnsi="宋体" w:cs="宋体" w:hint="eastAsia"/>
                <w:color w:val="000000"/>
                <w:kern w:val="0"/>
                <w:sz w:val="24"/>
                <w:szCs w:val="24"/>
              </w:rPr>
              <w:t>NB-IoT</w:t>
            </w:r>
            <w:r>
              <w:rPr>
                <w:rFonts w:ascii="宋体" w:eastAsia="宋体" w:hAnsi="宋体" w:cs="宋体" w:hint="eastAsia"/>
                <w:color w:val="000000"/>
                <w:kern w:val="0"/>
                <w:sz w:val="24"/>
                <w:szCs w:val="24"/>
              </w:rPr>
              <w:t>）网络部署力度，实现窄带物联网络覆盖主城区、重点区域和面向室内、交通路网、灯联网、地下管网等应用场景，推进社会治理精准化、公共服务高效化，同时支持建设集研发、中试、小批量生产和测试于一体的物联网公共技术服务平台和公共测试服务平台建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8000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市工信局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3294"/>
          <w:jc w:val="center"/>
        </w:trPr>
        <w:tc>
          <w:tcPr>
            <w:tcW w:w="732" w:type="dxa"/>
            <w:tcBorders>
              <w:bottom w:val="nil"/>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14</w:t>
            </w:r>
          </w:p>
        </w:tc>
        <w:tc>
          <w:tcPr>
            <w:tcW w:w="1449"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可定制油画生态聚合平台</w:t>
            </w:r>
          </w:p>
        </w:tc>
        <w:tc>
          <w:tcPr>
            <w:tcW w:w="1206"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仙游县</w:t>
            </w:r>
          </w:p>
        </w:tc>
        <w:tc>
          <w:tcPr>
            <w:tcW w:w="5372"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联合莆田油画龙头企业和国内互联网龙头企业共同搭建油画产业平台，立足油画行业，以区块链、人工智能、物联网、大数据等新技术为核心支撑，构筑油画多元展示与交易平台，拓展线上线下销售渠道，以整合国内莆籍画师、画商为着力点，提升莆田油画产业价值和区域竞争力，打造油画平台经济生态圈，实现油画产业在价值互联网的成功转型。争取五年内聚集生态企业</w:t>
            </w:r>
            <w:r>
              <w:rPr>
                <w:rFonts w:ascii="宋体" w:eastAsia="宋体" w:hAnsi="宋体" w:cs="宋体" w:hint="eastAsia"/>
                <w:color w:val="000000"/>
                <w:kern w:val="0"/>
                <w:sz w:val="24"/>
                <w:szCs w:val="24"/>
              </w:rPr>
              <w:t>22</w:t>
            </w:r>
            <w:r>
              <w:rPr>
                <w:rFonts w:ascii="宋体" w:eastAsia="宋体" w:hAnsi="宋体" w:cs="宋体" w:hint="eastAsia"/>
                <w:color w:val="000000"/>
                <w:kern w:val="0"/>
                <w:sz w:val="24"/>
                <w:szCs w:val="24"/>
              </w:rPr>
              <w:t>万多家，平台年交易额超百亿，自身营业收入</w:t>
            </w:r>
            <w:r>
              <w:rPr>
                <w:rFonts w:ascii="宋体" w:eastAsia="宋体" w:hAnsi="宋体" w:cs="宋体" w:hint="eastAsia"/>
                <w:color w:val="000000"/>
                <w:kern w:val="0"/>
                <w:sz w:val="24"/>
                <w:szCs w:val="24"/>
              </w:rPr>
              <w:t>8</w:t>
            </w:r>
            <w:r>
              <w:rPr>
                <w:rFonts w:ascii="宋体" w:eastAsia="宋体" w:hAnsi="宋体" w:cs="宋体" w:hint="eastAsia"/>
                <w:color w:val="000000"/>
                <w:kern w:val="0"/>
                <w:sz w:val="24"/>
                <w:szCs w:val="24"/>
              </w:rPr>
              <w:t>亿元，估值超过</w:t>
            </w:r>
            <w:r>
              <w:rPr>
                <w:rFonts w:ascii="宋体" w:eastAsia="宋体" w:hAnsi="宋体" w:cs="宋体" w:hint="eastAsia"/>
                <w:color w:val="000000"/>
                <w:kern w:val="0"/>
                <w:sz w:val="24"/>
                <w:szCs w:val="24"/>
              </w:rPr>
              <w:t>60</w:t>
            </w:r>
            <w:r>
              <w:rPr>
                <w:rFonts w:ascii="宋体" w:eastAsia="宋体" w:hAnsi="宋体" w:cs="宋体" w:hint="eastAsia"/>
                <w:color w:val="000000"/>
                <w:kern w:val="0"/>
                <w:sz w:val="24"/>
                <w:szCs w:val="24"/>
              </w:rPr>
              <w:t>亿，画工厂</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商家覆盖率</w:t>
            </w:r>
            <w:r>
              <w:rPr>
                <w:rFonts w:ascii="宋体" w:eastAsia="宋体" w:hAnsi="宋体" w:cs="宋体" w:hint="eastAsia"/>
                <w:color w:val="000000"/>
                <w:kern w:val="0"/>
                <w:sz w:val="24"/>
                <w:szCs w:val="24"/>
              </w:rPr>
              <w:t>90%</w:t>
            </w:r>
            <w:r>
              <w:rPr>
                <w:rFonts w:ascii="宋体" w:eastAsia="宋体" w:hAnsi="宋体" w:cs="宋体" w:hint="eastAsia"/>
                <w:color w:val="000000"/>
                <w:kern w:val="0"/>
                <w:sz w:val="24"/>
                <w:szCs w:val="24"/>
              </w:rPr>
              <w:t>以上</w:t>
            </w:r>
          </w:p>
        </w:tc>
        <w:tc>
          <w:tcPr>
            <w:tcW w:w="169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w:t>
            </w:r>
          </w:p>
        </w:tc>
        <w:tc>
          <w:tcPr>
            <w:tcW w:w="1313"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2022-2024</w:t>
            </w:r>
          </w:p>
        </w:tc>
        <w:tc>
          <w:tcPr>
            <w:tcW w:w="1331"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铭数科技</w:t>
            </w:r>
          </w:p>
        </w:tc>
        <w:tc>
          <w:tcPr>
            <w:tcW w:w="104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1471"/>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秀屿区智慧校园一体化大数据平台建设工程</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建设智慧教育平台、校园光纤网络及班班通等数字化等设备</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2022-2023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秀屿区教育局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1105"/>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上塘银饰</w:t>
            </w:r>
            <w:r>
              <w:rPr>
                <w:rFonts w:ascii="宋体" w:eastAsia="宋体" w:hAnsi="宋体" w:cs="宋体" w:hint="eastAsia"/>
                <w:color w:val="000000"/>
                <w:sz w:val="24"/>
                <w:szCs w:val="24"/>
              </w:rPr>
              <w:t>5G</w:t>
            </w:r>
            <w:r>
              <w:rPr>
                <w:rFonts w:ascii="宋体" w:eastAsia="宋体" w:hAnsi="宋体" w:cs="宋体" w:hint="eastAsia"/>
                <w:color w:val="000000"/>
                <w:sz w:val="24"/>
                <w:szCs w:val="24"/>
              </w:rPr>
              <w:t>智能园区建设工程</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建设约</w:t>
            </w:r>
            <w:r>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根智慧路灯，设立智能快件箱，搭建园区</w:t>
            </w:r>
            <w:r>
              <w:rPr>
                <w:rFonts w:ascii="宋体" w:eastAsia="宋体" w:hAnsi="宋体" w:cs="宋体" w:hint="eastAsia"/>
                <w:color w:val="000000"/>
                <w:kern w:val="0"/>
                <w:sz w:val="24"/>
                <w:szCs w:val="24"/>
              </w:rPr>
              <w:t>5G</w:t>
            </w:r>
            <w:r>
              <w:rPr>
                <w:rFonts w:ascii="宋体" w:eastAsia="宋体" w:hAnsi="宋体" w:cs="宋体" w:hint="eastAsia"/>
                <w:color w:val="000000"/>
                <w:kern w:val="0"/>
                <w:sz w:val="24"/>
                <w:szCs w:val="24"/>
              </w:rPr>
              <w:t>虚拟专网，交易中心</w:t>
            </w:r>
            <w:r>
              <w:rPr>
                <w:rFonts w:ascii="宋体" w:eastAsia="宋体" w:hAnsi="宋体" w:cs="宋体" w:hint="eastAsia"/>
                <w:color w:val="000000"/>
                <w:kern w:val="0"/>
                <w:sz w:val="24"/>
                <w:szCs w:val="24"/>
              </w:rPr>
              <w:t>VR</w:t>
            </w:r>
            <w:r>
              <w:rPr>
                <w:rFonts w:ascii="宋体" w:eastAsia="宋体" w:hAnsi="宋体" w:cs="宋体" w:hint="eastAsia"/>
                <w:color w:val="000000"/>
                <w:kern w:val="0"/>
                <w:sz w:val="24"/>
                <w:szCs w:val="24"/>
              </w:rPr>
              <w:t>全景直播与监控、园区</w:t>
            </w:r>
            <w:r>
              <w:rPr>
                <w:rFonts w:ascii="宋体" w:eastAsia="宋体" w:hAnsi="宋体" w:cs="宋体" w:hint="eastAsia"/>
                <w:color w:val="000000"/>
                <w:kern w:val="0"/>
                <w:sz w:val="24"/>
                <w:szCs w:val="24"/>
              </w:rPr>
              <w:t>AR</w:t>
            </w:r>
            <w:r>
              <w:rPr>
                <w:rFonts w:ascii="宋体" w:eastAsia="宋体" w:hAnsi="宋体" w:cs="宋体" w:hint="eastAsia"/>
                <w:color w:val="000000"/>
                <w:kern w:val="0"/>
                <w:sz w:val="24"/>
                <w:szCs w:val="24"/>
              </w:rPr>
              <w:t>导览和展示、高速光纤线路铺设等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2022-2023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上塘珠宝城管委会</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sz w:val="24"/>
                <w:szCs w:val="24"/>
              </w:rPr>
              <w:t>拟建</w:t>
            </w:r>
          </w:p>
        </w:tc>
      </w:tr>
      <w:tr w:rsidR="000816CE">
        <w:trPr>
          <w:trHeight w:val="407"/>
          <w:jc w:val="center"/>
        </w:trPr>
        <w:tc>
          <w:tcPr>
            <w:tcW w:w="13100" w:type="dxa"/>
            <w:gridSpan w:val="9"/>
            <w:vAlign w:val="center"/>
          </w:tcPr>
          <w:p w:rsidR="000816CE" w:rsidRDefault="00FC7BEB">
            <w:pPr>
              <w:spacing w:line="240" w:lineRule="auto"/>
              <w:ind w:firstLineChars="0" w:firstLine="0"/>
              <w:jc w:val="left"/>
              <w:rPr>
                <w:color w:val="000000" w:themeColor="text1"/>
                <w:sz w:val="24"/>
                <w:szCs w:val="24"/>
              </w:rPr>
            </w:pPr>
            <w:r>
              <w:rPr>
                <w:rFonts w:hint="eastAsia"/>
                <w:b/>
                <w:bCs/>
                <w:color w:val="000000" w:themeColor="text1"/>
                <w:sz w:val="24"/>
                <w:szCs w:val="24"/>
              </w:rPr>
              <w:t>商贸流通</w:t>
            </w:r>
          </w:p>
        </w:tc>
        <w:tc>
          <w:tcPr>
            <w:tcW w:w="1047" w:type="dxa"/>
            <w:vAlign w:val="center"/>
          </w:tcPr>
          <w:p w:rsidR="000816CE" w:rsidRDefault="000816CE">
            <w:pPr>
              <w:spacing w:line="240" w:lineRule="auto"/>
              <w:ind w:firstLineChars="0" w:firstLine="0"/>
              <w:jc w:val="center"/>
              <w:rPr>
                <w:rFonts w:ascii="宋体" w:eastAsia="宋体" w:hAnsi="宋体" w:cs="宋体"/>
                <w:b/>
                <w:bCs/>
                <w:color w:val="000000"/>
                <w:kern w:val="0"/>
                <w:sz w:val="24"/>
                <w:szCs w:val="24"/>
              </w:rPr>
            </w:pPr>
          </w:p>
        </w:tc>
      </w:tr>
      <w:tr w:rsidR="000816CE">
        <w:trPr>
          <w:trHeight w:val="752"/>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家居零售广场项目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拟选址鲤城西片区投资家居广场，需地块约</w:t>
            </w:r>
            <w:r>
              <w:rPr>
                <w:rFonts w:ascii="宋体" w:eastAsia="宋体" w:hAnsi="宋体" w:cs="宋体" w:hint="eastAsia"/>
                <w:color w:val="000000"/>
                <w:kern w:val="0"/>
                <w:sz w:val="24"/>
                <w:szCs w:val="24"/>
              </w:rPr>
              <w:t>201</w:t>
            </w:r>
            <w:r>
              <w:rPr>
                <w:rFonts w:ascii="宋体" w:eastAsia="宋体" w:hAnsi="宋体" w:cs="宋体" w:hint="eastAsia"/>
                <w:color w:val="000000"/>
                <w:kern w:val="0"/>
                <w:sz w:val="24"/>
                <w:szCs w:val="24"/>
              </w:rPr>
              <w:t>亩</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县自然资源局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741"/>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郊尾新城开发项目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用地</w:t>
            </w:r>
            <w:r>
              <w:rPr>
                <w:rFonts w:ascii="宋体" w:eastAsia="宋体" w:hAnsi="宋体" w:cs="宋体" w:hint="eastAsia"/>
                <w:color w:val="000000"/>
                <w:kern w:val="0"/>
                <w:sz w:val="24"/>
                <w:szCs w:val="24"/>
              </w:rPr>
              <w:t>220</w:t>
            </w:r>
            <w:r>
              <w:rPr>
                <w:rFonts w:ascii="宋体" w:eastAsia="宋体" w:hAnsi="宋体" w:cs="宋体" w:hint="eastAsia"/>
                <w:color w:val="000000"/>
                <w:kern w:val="0"/>
                <w:sz w:val="24"/>
                <w:szCs w:val="24"/>
              </w:rPr>
              <w:t>亩，开发建设集商住、休闲、娱乐、购物等为一体的城市综合体</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郊尾镇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tcBorders>
              <w:bottom w:val="single" w:sz="4" w:space="0" w:color="auto"/>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w:t>
            </w:r>
          </w:p>
        </w:tc>
        <w:tc>
          <w:tcPr>
            <w:tcW w:w="1449" w:type="dxa"/>
            <w:gridSpan w:val="2"/>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万佳酒店</w:t>
            </w:r>
          </w:p>
        </w:tc>
        <w:tc>
          <w:tcPr>
            <w:tcW w:w="1206"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w:t>
            </w:r>
            <w:r>
              <w:rPr>
                <w:rFonts w:ascii="宋体" w:eastAsia="宋体" w:hAnsi="宋体" w:cs="宋体" w:hint="eastAsia"/>
                <w:color w:val="000000"/>
                <w:kern w:val="0"/>
                <w:sz w:val="24"/>
                <w:szCs w:val="24"/>
              </w:rPr>
              <w:t>80</w:t>
            </w:r>
            <w:r>
              <w:rPr>
                <w:rFonts w:ascii="宋体" w:eastAsia="宋体" w:hAnsi="宋体" w:cs="宋体" w:hint="eastAsia"/>
                <w:color w:val="000000"/>
                <w:kern w:val="0"/>
                <w:sz w:val="24"/>
                <w:szCs w:val="24"/>
              </w:rPr>
              <w:t>亩，新建酒店总建筑面积</w:t>
            </w:r>
            <w:r>
              <w:rPr>
                <w:rFonts w:ascii="宋体" w:eastAsia="宋体" w:hAnsi="宋体" w:cs="宋体" w:hint="eastAsia"/>
                <w:color w:val="000000"/>
                <w:kern w:val="0"/>
                <w:sz w:val="24"/>
                <w:szCs w:val="24"/>
              </w:rPr>
              <w:t>3.5</w:t>
            </w:r>
            <w:r>
              <w:rPr>
                <w:rFonts w:ascii="宋体" w:eastAsia="宋体" w:hAnsi="宋体" w:cs="宋体" w:hint="eastAsia"/>
                <w:color w:val="000000"/>
                <w:kern w:val="0"/>
                <w:sz w:val="24"/>
                <w:szCs w:val="24"/>
              </w:rPr>
              <w:t>万平方米及住宅</w:t>
            </w:r>
          </w:p>
        </w:tc>
        <w:tc>
          <w:tcPr>
            <w:tcW w:w="1697"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县自然资源局</w:t>
            </w:r>
          </w:p>
        </w:tc>
        <w:tc>
          <w:tcPr>
            <w:tcW w:w="1047"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tcBorders>
              <w:top w:val="single" w:sz="4" w:space="0" w:color="auto"/>
              <w:bottom w:val="nil"/>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4</w:t>
            </w:r>
          </w:p>
        </w:tc>
        <w:tc>
          <w:tcPr>
            <w:tcW w:w="1449" w:type="dxa"/>
            <w:gridSpan w:val="2"/>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六编六雕展销区项目</w:t>
            </w:r>
          </w:p>
        </w:tc>
        <w:tc>
          <w:tcPr>
            <w:tcW w:w="1206"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选址石艺城对面闲置厂房作为仙游“六编六雕”工艺品集中展销区，一楼设计为“六编六雕”文化展览区，其余楼层招引“六编六雕”生产企业，展销“六编六雕”作品，游客可直接参观生产过程，直接定制专属旅游纪念品，参与手工作品制作，或进行线上直播，拓宽“六编六雕”文化知名度及产品销售渠道</w:t>
            </w:r>
          </w:p>
        </w:tc>
        <w:tc>
          <w:tcPr>
            <w:tcW w:w="1697"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8000</w:t>
            </w:r>
          </w:p>
        </w:tc>
        <w:tc>
          <w:tcPr>
            <w:tcW w:w="1313"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榜头镇</w:t>
            </w:r>
          </w:p>
        </w:tc>
        <w:tc>
          <w:tcPr>
            <w:tcW w:w="1047"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836"/>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莆田市海吉星农产品综合产业园</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建设智慧农产品保障中心，搭建农产品流通服务平台，构建食品安全保障体系，打造品牌农业等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2021-2026</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深圳市农产品集团股份有限公司、莆田市振兴乡村集团有限公司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646"/>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定点屠宰场迁建项目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项目规划用地面积</w:t>
            </w:r>
            <w:r>
              <w:rPr>
                <w:rFonts w:ascii="宋体" w:eastAsia="宋体" w:hAnsi="宋体" w:cs="宋体" w:hint="eastAsia"/>
                <w:color w:val="000000"/>
                <w:kern w:val="0"/>
                <w:sz w:val="24"/>
                <w:szCs w:val="24"/>
              </w:rPr>
              <w:t>16650</w:t>
            </w:r>
            <w:r>
              <w:rPr>
                <w:rFonts w:ascii="宋体" w:eastAsia="宋体" w:hAnsi="宋体" w:cs="宋体" w:hint="eastAsia"/>
                <w:color w:val="000000"/>
                <w:kern w:val="0"/>
                <w:sz w:val="24"/>
                <w:szCs w:val="24"/>
              </w:rPr>
              <w:t>㎡，合</w:t>
            </w:r>
            <w:r>
              <w:rPr>
                <w:rFonts w:ascii="宋体" w:eastAsia="宋体" w:hAnsi="宋体" w:cs="宋体" w:hint="eastAsia"/>
                <w:color w:val="000000"/>
                <w:kern w:val="0"/>
                <w:sz w:val="24"/>
                <w:szCs w:val="24"/>
              </w:rPr>
              <w:t>30</w:t>
            </w:r>
            <w:r>
              <w:rPr>
                <w:rFonts w:ascii="宋体" w:eastAsia="宋体" w:hAnsi="宋体" w:cs="宋体" w:hint="eastAsia"/>
                <w:color w:val="000000"/>
                <w:kern w:val="0"/>
                <w:sz w:val="24"/>
                <w:szCs w:val="24"/>
              </w:rPr>
              <w:t>亩，总建筑面积</w:t>
            </w:r>
            <w:r>
              <w:rPr>
                <w:rFonts w:ascii="宋体" w:eastAsia="宋体" w:hAnsi="宋体" w:cs="宋体" w:hint="eastAsia"/>
                <w:color w:val="000000"/>
                <w:kern w:val="0"/>
                <w:sz w:val="24"/>
                <w:szCs w:val="24"/>
              </w:rPr>
              <w:t>6068</w:t>
            </w:r>
            <w:r>
              <w:rPr>
                <w:rFonts w:ascii="宋体" w:eastAsia="宋体" w:hAnsi="宋体" w:cs="宋体" w:hint="eastAsia"/>
                <w:color w:val="000000"/>
                <w:kern w:val="0"/>
                <w:sz w:val="24"/>
                <w:szCs w:val="24"/>
              </w:rPr>
              <w:t>㎡。拟建设年屠宰食品生猪</w:t>
            </w:r>
            <w:r>
              <w:rPr>
                <w:rFonts w:ascii="宋体" w:eastAsia="宋体" w:hAnsi="宋体" w:cs="宋体" w:hint="eastAsia"/>
                <w:color w:val="000000"/>
                <w:kern w:val="0"/>
                <w:sz w:val="24"/>
                <w:szCs w:val="24"/>
              </w:rPr>
              <w:t>30</w:t>
            </w:r>
            <w:r>
              <w:rPr>
                <w:rFonts w:ascii="宋体" w:eastAsia="宋体" w:hAnsi="宋体" w:cs="宋体" w:hint="eastAsia"/>
                <w:color w:val="000000"/>
                <w:kern w:val="0"/>
                <w:sz w:val="24"/>
                <w:szCs w:val="24"/>
              </w:rPr>
              <w:t>万头、牛羊</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万头的定点屠宰场</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座。</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i/>
                <w:iCs/>
                <w:color w:val="000000"/>
                <w:kern w:val="0"/>
                <w:sz w:val="24"/>
                <w:szCs w:val="24"/>
              </w:rPr>
            </w:pPr>
            <w:r>
              <w:rPr>
                <w:rFonts w:ascii="宋体" w:eastAsia="宋体" w:hAnsi="宋体" w:cs="宋体" w:hint="eastAsia"/>
                <w:color w:val="000000"/>
                <w:kern w:val="0"/>
                <w:sz w:val="24"/>
                <w:szCs w:val="24"/>
              </w:rPr>
              <w:t>江口镇、莆田市涵江区牲畜定点屠宰场</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tcBorders>
              <w:bottom w:val="nil"/>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7</w:t>
            </w:r>
          </w:p>
        </w:tc>
        <w:tc>
          <w:tcPr>
            <w:tcW w:w="1449"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海洋健康食品区域总部项目</w:t>
            </w:r>
          </w:p>
        </w:tc>
        <w:tc>
          <w:tcPr>
            <w:tcW w:w="1206"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海洋食品研发中心，生产中心，检测中心，冷链仓储物流，人才培训等内容。年产值约</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亿人民币，力求将本项目打造成为福建地区重要的综合保健食品研发，生产，检验检测，打造绿色生态供应链</w:t>
            </w:r>
          </w:p>
        </w:tc>
        <w:tc>
          <w:tcPr>
            <w:tcW w:w="169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12000</w:t>
            </w:r>
          </w:p>
        </w:tc>
        <w:tc>
          <w:tcPr>
            <w:tcW w:w="1313"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w:t>
            </w:r>
          </w:p>
        </w:tc>
        <w:tc>
          <w:tcPr>
            <w:tcW w:w="1331"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鸿蒙集团有限公司</w:t>
            </w:r>
          </w:p>
        </w:tc>
        <w:tc>
          <w:tcPr>
            <w:tcW w:w="104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8</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闽运加油站迁建</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将闽运加油站（</w:t>
            </w:r>
            <w:r>
              <w:rPr>
                <w:rFonts w:ascii="宋体" w:eastAsia="宋体" w:hAnsi="宋体" w:cs="宋体" w:hint="eastAsia"/>
                <w:color w:val="000000"/>
                <w:kern w:val="0"/>
                <w:sz w:val="24"/>
                <w:szCs w:val="24"/>
              </w:rPr>
              <w:t>1.7</w:t>
            </w:r>
            <w:r>
              <w:rPr>
                <w:rFonts w:ascii="宋体" w:eastAsia="宋体" w:hAnsi="宋体" w:cs="宋体" w:hint="eastAsia"/>
                <w:color w:val="000000"/>
                <w:kern w:val="0"/>
                <w:sz w:val="24"/>
                <w:szCs w:val="24"/>
              </w:rPr>
              <w:t>亩）扩建至该站马路对面的保利城门口地块（约</w:t>
            </w:r>
            <w:r>
              <w:rPr>
                <w:rFonts w:ascii="宋体" w:eastAsia="宋体" w:hAnsi="宋体" w:cs="宋体" w:hint="eastAsia"/>
                <w:color w:val="000000"/>
                <w:kern w:val="0"/>
                <w:sz w:val="24"/>
                <w:szCs w:val="24"/>
              </w:rPr>
              <w:t>4.5</w:t>
            </w:r>
            <w:r>
              <w:rPr>
                <w:rFonts w:ascii="宋体" w:eastAsia="宋体" w:hAnsi="宋体" w:cs="宋体" w:hint="eastAsia"/>
                <w:color w:val="000000"/>
                <w:kern w:val="0"/>
                <w:sz w:val="24"/>
                <w:szCs w:val="24"/>
              </w:rPr>
              <w:t>亩）</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中国石油天然气股份有限公司福建莆</w:t>
            </w:r>
            <w:r>
              <w:rPr>
                <w:rFonts w:ascii="宋体" w:eastAsia="宋体" w:hAnsi="宋体" w:cs="宋体" w:hint="eastAsia"/>
                <w:color w:val="000000"/>
                <w:kern w:val="0"/>
                <w:sz w:val="24"/>
                <w:szCs w:val="24"/>
              </w:rPr>
              <w:lastRenderedPageBreak/>
              <w:t>田销售分公司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9</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滨海大道北侧加油站地块</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用地面积约</w:t>
            </w:r>
            <w:r>
              <w:rPr>
                <w:rFonts w:ascii="宋体" w:eastAsia="宋体" w:hAnsi="宋体" w:cs="宋体" w:hint="eastAsia"/>
                <w:color w:val="000000"/>
                <w:kern w:val="0"/>
                <w:sz w:val="24"/>
                <w:szCs w:val="24"/>
              </w:rPr>
              <w:t>8</w:t>
            </w:r>
            <w:r>
              <w:rPr>
                <w:rFonts w:ascii="宋体" w:eastAsia="宋体" w:hAnsi="宋体" w:cs="宋体" w:hint="eastAsia"/>
                <w:color w:val="000000"/>
                <w:kern w:val="0"/>
                <w:sz w:val="24"/>
                <w:szCs w:val="24"/>
              </w:rPr>
              <w:t>亩</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16000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梧塘镇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10</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通江国际创意工艺广场三期工程</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占地面积</w:t>
            </w:r>
            <w:r>
              <w:rPr>
                <w:rFonts w:ascii="宋体" w:eastAsia="宋体" w:hAnsi="宋体" w:cs="宋体" w:hint="eastAsia"/>
                <w:color w:val="000000"/>
                <w:kern w:val="0"/>
                <w:sz w:val="24"/>
                <w:szCs w:val="24"/>
              </w:rPr>
              <w:t>43987.55</w:t>
            </w:r>
            <w:r>
              <w:rPr>
                <w:rFonts w:ascii="宋体" w:eastAsia="宋体" w:hAnsi="宋体" w:cs="宋体" w:hint="eastAsia"/>
                <w:color w:val="000000"/>
                <w:kern w:val="0"/>
                <w:sz w:val="24"/>
                <w:szCs w:val="24"/>
              </w:rPr>
              <w:t>平方米，建筑面积</w:t>
            </w:r>
            <w:r>
              <w:rPr>
                <w:rFonts w:ascii="宋体" w:eastAsia="宋体" w:hAnsi="宋体" w:cs="宋体" w:hint="eastAsia"/>
                <w:color w:val="000000"/>
                <w:kern w:val="0"/>
                <w:sz w:val="24"/>
                <w:szCs w:val="24"/>
              </w:rPr>
              <w:t>132741</w:t>
            </w:r>
            <w:r>
              <w:rPr>
                <w:rFonts w:ascii="宋体" w:eastAsia="宋体" w:hAnsi="宋体" w:cs="宋体" w:hint="eastAsia"/>
                <w:color w:val="000000"/>
                <w:kern w:val="0"/>
                <w:sz w:val="24"/>
                <w:szCs w:val="24"/>
              </w:rPr>
              <w:t>平方米新增生产能力或使用功能</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生产</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销售精品家居及工艺品</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卧龙达</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福建</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发展有限公司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洋西联发电商城城市购物广场</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w:t>
            </w:r>
            <w:r>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万平方米</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建设一座大型城市购物广场。</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莆田联欣盛产业园开发有限公司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市会展中心酒店建设</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建成一幢由三星酒店、五星酒店、办公及商业等组成的综合性酒店，以完善市会展中心配套建设，推进高铁片区发展</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170000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莆田市国投置业有限公司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霞皋农贸市场综合体</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拟在霞皋片区建立农贸市场综合体。</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华亭镇人民政府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东海镇钢材批发交易中心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位于东朱工业区内，在现有钢筋批发市场基础上，进一步拓展交易范围，形成钢材批发交易中心。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16000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东海镇人民政府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小吃一条街</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在涵江区延宁蓝宝湾小区、亿发星都汇打造一条以展示涵江非遗美食及涵江地产特色的美食为主的小吃一条街，充分体现涵江特色的</w:t>
            </w:r>
            <w:r>
              <w:rPr>
                <w:rFonts w:ascii="宋体" w:eastAsia="宋体" w:hAnsi="宋体" w:cs="宋体"/>
                <w:color w:val="000000"/>
                <w:kern w:val="0"/>
                <w:sz w:val="24"/>
                <w:szCs w:val="24"/>
              </w:rPr>
              <w:t>“</w:t>
            </w:r>
            <w:r>
              <w:rPr>
                <w:rFonts w:ascii="宋体" w:eastAsia="宋体" w:hAnsi="宋体" w:cs="宋体"/>
                <w:color w:val="000000"/>
                <w:kern w:val="0"/>
                <w:sz w:val="24"/>
                <w:szCs w:val="24"/>
              </w:rPr>
              <w:t>非遗夜市</w:t>
            </w:r>
            <w:r>
              <w:rPr>
                <w:rFonts w:ascii="宋体" w:eastAsia="宋体" w:hAnsi="宋体" w:cs="宋体"/>
                <w:color w:val="000000"/>
                <w:kern w:val="0"/>
                <w:sz w:val="24"/>
                <w:szCs w:val="24"/>
              </w:rPr>
              <w:t>”</w:t>
            </w:r>
            <w:r>
              <w:rPr>
                <w:rFonts w:ascii="宋体" w:eastAsia="宋体" w:hAnsi="宋体" w:cs="宋体"/>
                <w:color w:val="000000"/>
                <w:kern w:val="0"/>
                <w:sz w:val="24"/>
                <w:szCs w:val="24"/>
              </w:rPr>
              <w:t>，促进夜间经济发展，逐年扩大并形成业态</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涵江区文化体育和旅游局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tcBorders>
              <w:bottom w:val="single" w:sz="4" w:space="0" w:color="auto"/>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16</w:t>
            </w:r>
          </w:p>
        </w:tc>
        <w:tc>
          <w:tcPr>
            <w:tcW w:w="1449" w:type="dxa"/>
            <w:gridSpan w:val="2"/>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金航展黄金珠宝创意产业园</w:t>
            </w:r>
          </w:p>
        </w:tc>
        <w:tc>
          <w:tcPr>
            <w:tcW w:w="1206"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荔城区</w:t>
            </w:r>
          </w:p>
        </w:tc>
        <w:tc>
          <w:tcPr>
            <w:tcW w:w="5372"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用地</w:t>
            </w:r>
            <w:r>
              <w:rPr>
                <w:rFonts w:ascii="宋体" w:eastAsia="宋体" w:hAnsi="宋体" w:cs="宋体"/>
                <w:color w:val="000000"/>
                <w:kern w:val="0"/>
                <w:sz w:val="24"/>
                <w:szCs w:val="24"/>
              </w:rPr>
              <w:t>30</w:t>
            </w:r>
            <w:r>
              <w:rPr>
                <w:rFonts w:ascii="宋体" w:eastAsia="宋体" w:hAnsi="宋体" w:cs="宋体"/>
                <w:color w:val="000000"/>
                <w:kern w:val="0"/>
                <w:sz w:val="24"/>
                <w:szCs w:val="24"/>
              </w:rPr>
              <w:t>亩，建设</w:t>
            </w:r>
            <w:r>
              <w:rPr>
                <w:rFonts w:ascii="宋体" w:eastAsia="宋体" w:hAnsi="宋体" w:cs="宋体"/>
                <w:color w:val="000000"/>
                <w:kern w:val="0"/>
                <w:sz w:val="24"/>
                <w:szCs w:val="24"/>
              </w:rPr>
              <w:t>5A</w:t>
            </w:r>
            <w:r>
              <w:rPr>
                <w:rFonts w:ascii="宋体" w:eastAsia="宋体" w:hAnsi="宋体" w:cs="宋体"/>
                <w:color w:val="000000"/>
                <w:kern w:val="0"/>
                <w:sz w:val="24"/>
                <w:szCs w:val="24"/>
              </w:rPr>
              <w:t>级高端智能写字楼，设立贵金属创意设计展示及交流平台</w:t>
            </w:r>
          </w:p>
        </w:tc>
        <w:tc>
          <w:tcPr>
            <w:tcW w:w="1697"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30000</w:t>
            </w:r>
          </w:p>
        </w:tc>
        <w:tc>
          <w:tcPr>
            <w:tcW w:w="1313"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2021-2022</w:t>
            </w:r>
          </w:p>
        </w:tc>
        <w:tc>
          <w:tcPr>
            <w:tcW w:w="1331" w:type="dxa"/>
            <w:gridSpan w:val="2"/>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北京金航展股份有限公司</w:t>
            </w:r>
          </w:p>
        </w:tc>
        <w:tc>
          <w:tcPr>
            <w:tcW w:w="1047" w:type="dxa"/>
            <w:tcBorders>
              <w:bottom w:val="single" w:sz="4" w:space="0" w:color="auto"/>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tcBorders>
              <w:top w:val="single" w:sz="4" w:space="0" w:color="auto"/>
              <w:bottom w:val="nil"/>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17</w:t>
            </w:r>
          </w:p>
        </w:tc>
        <w:tc>
          <w:tcPr>
            <w:tcW w:w="1449" w:type="dxa"/>
            <w:gridSpan w:val="2"/>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磐龙山庄酒店</w:t>
            </w:r>
          </w:p>
        </w:tc>
        <w:tc>
          <w:tcPr>
            <w:tcW w:w="1206"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荔城区</w:t>
            </w:r>
          </w:p>
        </w:tc>
        <w:tc>
          <w:tcPr>
            <w:tcW w:w="5372"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规划用地面积约</w:t>
            </w:r>
            <w:r>
              <w:rPr>
                <w:rFonts w:ascii="宋体" w:eastAsia="宋体" w:hAnsi="宋体" w:cs="宋体" w:hint="eastAsia"/>
                <w:color w:val="000000"/>
                <w:kern w:val="0"/>
                <w:sz w:val="24"/>
                <w:szCs w:val="24"/>
              </w:rPr>
              <w:t>50</w:t>
            </w:r>
            <w:r>
              <w:rPr>
                <w:rFonts w:ascii="宋体" w:eastAsia="宋体" w:hAnsi="宋体" w:cs="宋体" w:hint="eastAsia"/>
                <w:color w:val="000000"/>
                <w:kern w:val="0"/>
                <w:sz w:val="24"/>
                <w:szCs w:val="24"/>
              </w:rPr>
              <w:t>亩</w:t>
            </w:r>
          </w:p>
        </w:tc>
        <w:tc>
          <w:tcPr>
            <w:tcW w:w="1697"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西天尾镇</w:t>
            </w:r>
          </w:p>
        </w:tc>
        <w:tc>
          <w:tcPr>
            <w:tcW w:w="1047" w:type="dxa"/>
            <w:tcBorders>
              <w:top w:val="single" w:sz="4" w:space="0" w:color="auto"/>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18</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北高珠宝城</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w:t>
            </w:r>
            <w:r>
              <w:rPr>
                <w:rFonts w:ascii="宋体" w:eastAsia="宋体" w:hAnsi="宋体" w:cs="宋体" w:hint="eastAsia"/>
                <w:color w:val="000000"/>
                <w:kern w:val="0"/>
                <w:sz w:val="24"/>
                <w:szCs w:val="24"/>
              </w:rPr>
              <w:t>300</w:t>
            </w:r>
            <w:r>
              <w:rPr>
                <w:rFonts w:ascii="宋体" w:eastAsia="宋体" w:hAnsi="宋体" w:cs="宋体" w:hint="eastAsia"/>
                <w:color w:val="000000"/>
                <w:kern w:val="0"/>
                <w:sz w:val="24"/>
                <w:szCs w:val="24"/>
              </w:rPr>
              <w:t>亩，建设商务配套酒店珠宝文化街产品展示中心及住宅配套设施</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北高镇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tcBorders>
              <w:bottom w:val="nil"/>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19</w:t>
            </w:r>
          </w:p>
        </w:tc>
        <w:tc>
          <w:tcPr>
            <w:tcW w:w="1449"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城南市场改造提升工程</w:t>
            </w:r>
          </w:p>
        </w:tc>
        <w:tc>
          <w:tcPr>
            <w:tcW w:w="1206"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荔城区</w:t>
            </w:r>
          </w:p>
        </w:tc>
        <w:tc>
          <w:tcPr>
            <w:tcW w:w="5372"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总建筑面积约</w:t>
            </w:r>
            <w:r>
              <w:rPr>
                <w:rFonts w:ascii="宋体" w:eastAsia="宋体" w:hAnsi="宋体" w:cs="宋体" w:hint="eastAsia"/>
                <w:color w:val="000000"/>
                <w:kern w:val="0"/>
                <w:sz w:val="24"/>
                <w:szCs w:val="24"/>
              </w:rPr>
              <w:t>3.2</w:t>
            </w:r>
            <w:r>
              <w:rPr>
                <w:rFonts w:ascii="宋体" w:eastAsia="宋体" w:hAnsi="宋体" w:cs="宋体" w:hint="eastAsia"/>
                <w:color w:val="000000"/>
                <w:kern w:val="0"/>
                <w:sz w:val="24"/>
                <w:szCs w:val="24"/>
              </w:rPr>
              <w:t>万平方米，建设农贸市场、商场及其配套设施。</w:t>
            </w:r>
          </w:p>
        </w:tc>
        <w:tc>
          <w:tcPr>
            <w:tcW w:w="169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区商务局</w:t>
            </w:r>
          </w:p>
        </w:tc>
        <w:tc>
          <w:tcPr>
            <w:tcW w:w="104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20</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湄洲国际大酒店提升工程</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湄洲国际大酒店外立面、房间等进行全方面提升改造</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北高珠宝城</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w:t>
            </w:r>
            <w:r>
              <w:rPr>
                <w:rFonts w:ascii="宋体" w:eastAsia="宋体" w:hAnsi="宋体" w:cs="宋体" w:hint="eastAsia"/>
                <w:color w:val="000000"/>
                <w:kern w:val="0"/>
                <w:sz w:val="24"/>
                <w:szCs w:val="24"/>
              </w:rPr>
              <w:t>300</w:t>
            </w:r>
            <w:r>
              <w:rPr>
                <w:rFonts w:ascii="宋体" w:eastAsia="宋体" w:hAnsi="宋体" w:cs="宋体" w:hint="eastAsia"/>
                <w:color w:val="000000"/>
                <w:kern w:val="0"/>
                <w:sz w:val="24"/>
                <w:szCs w:val="24"/>
              </w:rPr>
              <w:t>亩，建设商务配套酒店珠宝文化街产品展示中心及住宅配套设施</w:t>
            </w:r>
            <w:r>
              <w:rPr>
                <w:rFonts w:ascii="宋体" w:eastAsia="宋体" w:hAnsi="宋体" w:cs="宋体" w:hint="eastAsia"/>
                <w:color w:val="000000"/>
                <w:kern w:val="0"/>
                <w:sz w:val="24"/>
                <w:szCs w:val="24"/>
              </w:rPr>
              <w:t>.</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莆田北高珠宝城投资有限公司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湄洲岛大型商业综合广场</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规划在中部集镇中心，通过整合供销社、粮站、邮政、电信办公楼、旧农贸市场等国有集体地块，建设大型商业综合广场，引入旅游伴手礼、餐饮、文娱、电影院、商场、专卖店等商业入驻</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tcBorders>
              <w:bottom w:val="nil"/>
            </w:tcBorders>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23</w:t>
            </w:r>
          </w:p>
        </w:tc>
        <w:tc>
          <w:tcPr>
            <w:tcW w:w="1449"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红星·国际广场项目</w:t>
            </w:r>
          </w:p>
        </w:tc>
        <w:tc>
          <w:tcPr>
            <w:tcW w:w="1206"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建设集家居、购物、餐饮、住宅等于一体的“居家”型城市综合体。项目商业部分建筑面积不低于</w:t>
            </w:r>
            <w:r>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万平方米，其中自持商业</w:t>
            </w:r>
            <w:r>
              <w:rPr>
                <w:rFonts w:ascii="宋体" w:eastAsia="宋体" w:hAnsi="宋体" w:cs="宋体" w:hint="eastAsia"/>
                <w:color w:val="000000"/>
                <w:kern w:val="0"/>
                <w:sz w:val="24"/>
                <w:szCs w:val="24"/>
              </w:rPr>
              <w:t>6</w:t>
            </w:r>
            <w:r>
              <w:rPr>
                <w:rFonts w:ascii="宋体" w:eastAsia="宋体" w:hAnsi="宋体" w:cs="宋体" w:hint="eastAsia"/>
                <w:color w:val="000000"/>
                <w:kern w:val="0"/>
                <w:sz w:val="24"/>
                <w:szCs w:val="24"/>
              </w:rPr>
              <w:t>万平方米（红星美凯龙全新第八代家居</w:t>
            </w:r>
            <w:r>
              <w:rPr>
                <w:rFonts w:ascii="宋体" w:eastAsia="宋体" w:hAnsi="宋体" w:cs="宋体" w:hint="eastAsia"/>
                <w:color w:val="000000"/>
                <w:kern w:val="0"/>
                <w:sz w:val="24"/>
                <w:szCs w:val="24"/>
              </w:rPr>
              <w:t>MALL 4</w:t>
            </w:r>
            <w:r>
              <w:rPr>
                <w:rFonts w:ascii="宋体" w:eastAsia="宋体" w:hAnsi="宋体" w:cs="宋体" w:hint="eastAsia"/>
                <w:color w:val="000000"/>
                <w:kern w:val="0"/>
                <w:sz w:val="24"/>
                <w:szCs w:val="24"/>
              </w:rPr>
              <w:t>万平方米</w:t>
            </w:r>
          </w:p>
        </w:tc>
        <w:tc>
          <w:tcPr>
            <w:tcW w:w="169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350000</w:t>
            </w:r>
          </w:p>
        </w:tc>
        <w:tc>
          <w:tcPr>
            <w:tcW w:w="1313"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红星美凯龙集团</w:t>
            </w:r>
          </w:p>
        </w:tc>
        <w:tc>
          <w:tcPr>
            <w:tcW w:w="1047" w:type="dxa"/>
            <w:tcBorders>
              <w:bottom w:val="nil"/>
            </w:tcBorders>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美食城古典商业街项目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选址美食城两侧街道，遵循美食城建筑设计风格、参照福州三坊七巷、长沙太平街等，高标准规划建设古典商业购物文化街；</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选址美食城北侧，占地约</w:t>
            </w:r>
            <w:r>
              <w:rPr>
                <w:rFonts w:ascii="宋体" w:eastAsia="宋体" w:hAnsi="宋体" w:cs="宋体" w:hint="eastAsia"/>
                <w:color w:val="000000"/>
                <w:kern w:val="0"/>
                <w:sz w:val="24"/>
                <w:szCs w:val="24"/>
              </w:rPr>
              <w:t>150</w:t>
            </w:r>
            <w:r>
              <w:rPr>
                <w:rFonts w:ascii="宋体" w:eastAsia="宋体" w:hAnsi="宋体" w:cs="宋体" w:hint="eastAsia"/>
                <w:color w:val="000000"/>
                <w:kern w:val="0"/>
                <w:sz w:val="24"/>
                <w:szCs w:val="24"/>
              </w:rPr>
              <w:t>亩，建设自然生态禅意休闲公园，定期开展文化旅游节活动</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县自然资源局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金桥路五金</w:t>
            </w:r>
            <w:r>
              <w:rPr>
                <w:rFonts w:ascii="宋体" w:eastAsia="宋体" w:hAnsi="宋体" w:cs="宋体"/>
                <w:color w:val="000000"/>
                <w:kern w:val="0"/>
                <w:sz w:val="24"/>
                <w:szCs w:val="24"/>
              </w:rPr>
              <w:lastRenderedPageBreak/>
              <w:t>批发一条街建设工程</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沿着既有金桥路中段</w:t>
            </w:r>
            <w:r>
              <w:rPr>
                <w:rFonts w:ascii="宋体" w:eastAsia="宋体" w:hAnsi="宋体" w:cs="宋体"/>
                <w:color w:val="000000"/>
                <w:kern w:val="0"/>
                <w:sz w:val="24"/>
                <w:szCs w:val="24"/>
              </w:rPr>
              <w:t>500</w:t>
            </w:r>
            <w:r>
              <w:rPr>
                <w:rFonts w:ascii="宋体" w:eastAsia="宋体" w:hAnsi="宋体" w:cs="宋体"/>
                <w:color w:val="000000"/>
                <w:kern w:val="0"/>
                <w:sz w:val="24"/>
                <w:szCs w:val="24"/>
              </w:rPr>
              <w:t>米，对两旁现有空地进</w:t>
            </w:r>
            <w:r>
              <w:rPr>
                <w:rFonts w:ascii="宋体" w:eastAsia="宋体" w:hAnsi="宋体" w:cs="宋体"/>
                <w:color w:val="000000"/>
                <w:kern w:val="0"/>
                <w:sz w:val="24"/>
                <w:szCs w:val="24"/>
              </w:rPr>
              <w:lastRenderedPageBreak/>
              <w:t>行统一规划，统一设计，建设五金批发一条街，助力东海集中地开发建设。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13000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东海镇人</w:t>
            </w:r>
            <w:r>
              <w:rPr>
                <w:rFonts w:ascii="宋体" w:eastAsia="宋体" w:hAnsi="宋体" w:cs="宋体" w:hint="eastAsia"/>
                <w:color w:val="000000"/>
                <w:kern w:val="0"/>
                <w:sz w:val="24"/>
                <w:szCs w:val="24"/>
              </w:rPr>
              <w:lastRenderedPageBreak/>
              <w:t>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26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东海加油站</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初步谋划滨海大道东海段设置加油站及服务设施。</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东海镇人民政府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27</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三迪五星级酒店项目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位于城厢区霞林街道万达南片区（原莆田糖厂内），占地</w:t>
            </w:r>
            <w:r>
              <w:rPr>
                <w:rFonts w:ascii="宋体" w:eastAsia="宋体" w:hAnsi="宋体" w:cs="宋体" w:hint="eastAsia"/>
                <w:color w:val="000000"/>
                <w:kern w:val="0"/>
                <w:sz w:val="24"/>
                <w:szCs w:val="24"/>
              </w:rPr>
              <w:t>32</w:t>
            </w:r>
            <w:r>
              <w:rPr>
                <w:rFonts w:ascii="宋体" w:eastAsia="宋体" w:hAnsi="宋体" w:cs="宋体" w:hint="eastAsia"/>
                <w:color w:val="000000"/>
                <w:kern w:val="0"/>
                <w:sz w:val="24"/>
                <w:szCs w:val="24"/>
              </w:rPr>
              <w:t>亩，拟建设国际品牌五星级酒店。</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中国三迪控股有限公司</w:t>
            </w:r>
          </w:p>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福建三迪房地产开发有限公司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14147" w:type="dxa"/>
            <w:gridSpan w:val="10"/>
            <w:vAlign w:val="center"/>
          </w:tcPr>
          <w:p w:rsidR="000816CE" w:rsidRDefault="00FC7BEB">
            <w:pPr>
              <w:widowControl/>
              <w:spacing w:line="240" w:lineRule="auto"/>
              <w:ind w:firstLineChars="0" w:firstLine="0"/>
              <w:jc w:val="left"/>
              <w:textAlignment w:val="center"/>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文旅产业</w:t>
            </w:r>
          </w:p>
        </w:tc>
      </w:tr>
      <w:tr w:rsidR="000816CE">
        <w:trPr>
          <w:trHeight w:val="1718"/>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菜溪岩研学度假旅游区项目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）复建“浔阳书堂”，开辟科举文化博物馆；（</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）建设郑侨状元读书处；（</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）建设菜溪研学度假村；（</w:t>
            </w:r>
            <w:r>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）建设菜溪岩景区入口形象工程和南塘、顶南湖水体景观工程及休闲设施；（</w:t>
            </w:r>
            <w:r>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）建设联二线至源山寺的旅游公路。</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r>
              <w:rPr>
                <w:rStyle w:val="font11"/>
                <w:rFonts w:hint="default"/>
                <w:sz w:val="24"/>
                <w:szCs w:val="24"/>
              </w:rPr>
              <w:t>021-2026</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“云上水乡”仙水洋度假区项目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与中旅集团合作，引入十五至三十家国内顶级名宿品牌，同时进行赤利溪引水工程、仙水洋高山水上运动公园项目、仙水洋花海及漂流项目、凤山旅游区游客集散中心和旅游车队、十八股头、石人头、仙人谷景点开发、乌柄、官田避暑度假区开发、仙水洋酒店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r>
              <w:rPr>
                <w:rStyle w:val="font11"/>
                <w:rFonts w:hint="default"/>
                <w:sz w:val="24"/>
                <w:szCs w:val="24"/>
              </w:rPr>
              <w:t>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木兰溪生态旅游设施建设项目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拟建木兰溪生态旅游设施建设项目工程，围绕开辟自木兰陂—濑溪桥</w:t>
            </w:r>
            <w:r>
              <w:rPr>
                <w:rFonts w:ascii="宋体" w:eastAsia="宋体" w:hAnsi="宋体" w:cs="宋体" w:hint="eastAsia"/>
                <w:color w:val="000000"/>
                <w:kern w:val="0"/>
                <w:sz w:val="24"/>
                <w:szCs w:val="24"/>
              </w:rPr>
              <w:t xml:space="preserve"> 7.5 </w:t>
            </w:r>
            <w:r>
              <w:rPr>
                <w:rFonts w:ascii="宋体" w:eastAsia="宋体" w:hAnsi="宋体" w:cs="宋体" w:hint="eastAsia"/>
                <w:color w:val="000000"/>
                <w:kern w:val="0"/>
                <w:sz w:val="24"/>
                <w:szCs w:val="24"/>
              </w:rPr>
              <w:t>公里水上旅游线路，重点实施以下四项建设内容：（</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）建设游艇码头、购置游船及配套建设木兰溪兴沙湾站；（</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）建设</w:t>
            </w:r>
            <w:r>
              <w:rPr>
                <w:rFonts w:ascii="宋体" w:eastAsia="宋体" w:hAnsi="宋体" w:cs="宋体" w:hint="eastAsia"/>
                <w:color w:val="000000"/>
                <w:kern w:val="0"/>
                <w:sz w:val="24"/>
                <w:szCs w:val="24"/>
              </w:rPr>
              <w:lastRenderedPageBreak/>
              <w:t>滨江生态公园、停车场、公共自行车站点等配套旅游基础设施；（</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）实施霞皋八卦村统一修缮租赁流转，形成文旅商圈，创建酒店管理、文旅导游专业人才培训基地，打造木兰古城旅游项目；（</w:t>
            </w:r>
            <w:r>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）流转周边农田建设循环农业、创意农业、农业体验于一体的田园</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综合体，配套建设木兰溪水上乐园及皮划艇激流体验等文娱竞技项目。</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莆田市城厢区凤凰旅游开发有限公司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4</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龟山禅修文化生态旅游工程</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总规划面积</w:t>
            </w:r>
            <w:r>
              <w:rPr>
                <w:rFonts w:ascii="宋体" w:eastAsia="宋体" w:hAnsi="宋体" w:cs="宋体" w:hint="eastAsia"/>
                <w:color w:val="000000"/>
                <w:kern w:val="0"/>
                <w:sz w:val="24"/>
                <w:szCs w:val="24"/>
              </w:rPr>
              <w:t>8700</w:t>
            </w:r>
            <w:r>
              <w:rPr>
                <w:rFonts w:ascii="宋体" w:eastAsia="宋体" w:hAnsi="宋体" w:cs="宋体" w:hint="eastAsia"/>
                <w:color w:val="000000"/>
                <w:kern w:val="0"/>
                <w:sz w:val="24"/>
                <w:szCs w:val="24"/>
              </w:rPr>
              <w:t>亩，建成千龟园、禅道馆、禅斋馆、禅茶馆、留香馆、禅宗书院、百花园、禅耕体验园、知青记忆场、水果采摘园、禅会所、垂钓区、茶叶工坊、观景长廊等。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莆田市华亭城市投资开发有限公司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5</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南日岛滨海旅游度假区</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南日岛东部现代海洋渔业综合开发示范区规划面积</w:t>
            </w:r>
            <w:r>
              <w:rPr>
                <w:rFonts w:ascii="宋体" w:eastAsia="宋体" w:hAnsi="宋体" w:cs="宋体" w:hint="eastAsia"/>
                <w:color w:val="000000"/>
                <w:kern w:val="0"/>
                <w:sz w:val="24"/>
                <w:szCs w:val="24"/>
              </w:rPr>
              <w:t>10530</w:t>
            </w:r>
            <w:r>
              <w:rPr>
                <w:rFonts w:ascii="宋体" w:eastAsia="宋体" w:hAnsi="宋体" w:cs="宋体" w:hint="eastAsia"/>
                <w:color w:val="000000"/>
                <w:kern w:val="0"/>
                <w:sz w:val="24"/>
                <w:szCs w:val="24"/>
              </w:rPr>
              <w:t>亩建设生态养殖与网箱垂钓区、渔家风情摄影基地、海上游钓场、东岱渔村文化旅游区、后叶渔家客栈与美食区、沙滩与涉水娱乐区、海岛旅游观光，钓艇渔港码头、接待中心区、消浪防护堤景观区等于一体的现代海洋渔业多元化综合开发示范区。九重山景区创建国家级</w:t>
            </w:r>
            <w:r>
              <w:rPr>
                <w:rFonts w:ascii="宋体" w:eastAsia="宋体" w:hAnsi="宋体" w:cs="宋体" w:hint="eastAsia"/>
                <w:color w:val="000000"/>
                <w:kern w:val="0"/>
                <w:sz w:val="24"/>
                <w:szCs w:val="24"/>
              </w:rPr>
              <w:t>3A</w:t>
            </w:r>
            <w:r>
              <w:rPr>
                <w:rFonts w:ascii="宋体" w:eastAsia="宋体" w:hAnsi="宋体" w:cs="宋体" w:hint="eastAsia"/>
                <w:color w:val="000000"/>
                <w:kern w:val="0"/>
                <w:sz w:val="24"/>
                <w:szCs w:val="24"/>
              </w:rPr>
              <w:t>景区。</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秀屿区人民政府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472"/>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6</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后海垦区省级现代渔业产业园白面屿度假区</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后海垦区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建设水上乐园度假中心</w:t>
            </w:r>
            <w:r>
              <w:rPr>
                <w:rFonts w:ascii="宋体" w:eastAsia="宋体" w:hAnsi="宋体" w:cs="宋体" w:hint="eastAsia"/>
                <w:color w:val="000000"/>
                <w:kern w:val="0"/>
                <w:sz w:val="24"/>
                <w:szCs w:val="24"/>
              </w:rPr>
              <w:t>260</w:t>
            </w:r>
            <w:r>
              <w:rPr>
                <w:rFonts w:ascii="宋体" w:eastAsia="宋体" w:hAnsi="宋体" w:cs="宋体" w:hint="eastAsia"/>
                <w:color w:val="000000"/>
                <w:kern w:val="0"/>
                <w:sz w:val="24"/>
                <w:szCs w:val="24"/>
              </w:rPr>
              <w:t>亩</w:t>
            </w:r>
            <w:r>
              <w:rPr>
                <w:rFonts w:ascii="宋体" w:eastAsia="宋体" w:hAnsi="宋体" w:cs="宋体" w:hint="eastAsia"/>
                <w:color w:val="000000"/>
                <w:kern w:val="0"/>
                <w:sz w:val="24"/>
                <w:szCs w:val="24"/>
              </w:rPr>
              <w:t>6</w:t>
            </w:r>
            <w:r>
              <w:rPr>
                <w:rFonts w:ascii="宋体" w:eastAsia="宋体" w:hAnsi="宋体" w:cs="宋体" w:hint="eastAsia"/>
                <w:color w:val="000000"/>
                <w:kern w:val="0"/>
                <w:sz w:val="24"/>
                <w:szCs w:val="24"/>
              </w:rPr>
              <w:t>亿元，陆上环岛路桥工程</w:t>
            </w:r>
            <w:r>
              <w:rPr>
                <w:rFonts w:ascii="宋体" w:eastAsia="宋体" w:hAnsi="宋体" w:cs="宋体" w:hint="eastAsia"/>
                <w:color w:val="000000"/>
                <w:kern w:val="0"/>
                <w:sz w:val="24"/>
                <w:szCs w:val="24"/>
              </w:rPr>
              <w:t>240</w:t>
            </w:r>
            <w:r>
              <w:rPr>
                <w:rFonts w:ascii="宋体" w:eastAsia="宋体" w:hAnsi="宋体" w:cs="宋体" w:hint="eastAsia"/>
                <w:color w:val="000000"/>
                <w:kern w:val="0"/>
                <w:sz w:val="24"/>
                <w:szCs w:val="24"/>
              </w:rPr>
              <w:t>亩</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亿元，海岸垂钓运动示范基地</w:t>
            </w:r>
            <w:r>
              <w:rPr>
                <w:rFonts w:ascii="宋体" w:eastAsia="宋体" w:hAnsi="宋体" w:cs="宋体" w:hint="eastAsia"/>
                <w:color w:val="000000"/>
                <w:kern w:val="0"/>
                <w:sz w:val="24"/>
                <w:szCs w:val="24"/>
              </w:rPr>
              <w:t>0.5</w:t>
            </w:r>
            <w:r>
              <w:rPr>
                <w:rFonts w:ascii="宋体" w:eastAsia="宋体" w:hAnsi="宋体" w:cs="宋体" w:hint="eastAsia"/>
                <w:color w:val="000000"/>
                <w:kern w:val="0"/>
                <w:sz w:val="24"/>
                <w:szCs w:val="24"/>
              </w:rPr>
              <w:t>亿元，产业园区基础设施和公共服务平台</w:t>
            </w:r>
            <w:r>
              <w:rPr>
                <w:rFonts w:ascii="宋体" w:eastAsia="宋体" w:hAnsi="宋体" w:cs="宋体" w:hint="eastAsia"/>
                <w:color w:val="000000"/>
                <w:kern w:val="0"/>
                <w:sz w:val="24"/>
                <w:szCs w:val="24"/>
              </w:rPr>
              <w:t>1.5</w:t>
            </w:r>
            <w:r>
              <w:rPr>
                <w:rFonts w:ascii="宋体" w:eastAsia="宋体" w:hAnsi="宋体" w:cs="宋体" w:hint="eastAsia"/>
                <w:color w:val="000000"/>
                <w:kern w:val="0"/>
                <w:sz w:val="24"/>
                <w:szCs w:val="24"/>
              </w:rPr>
              <w:t>亿元。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莆田市后海管理局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7</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莆阳历史文化创意产业园</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占地约</w:t>
            </w:r>
            <w:r>
              <w:rPr>
                <w:rFonts w:ascii="宋体" w:eastAsia="宋体" w:hAnsi="宋体" w:cs="宋体" w:hint="eastAsia"/>
                <w:color w:val="000000"/>
                <w:kern w:val="0"/>
                <w:sz w:val="24"/>
                <w:szCs w:val="24"/>
              </w:rPr>
              <w:t>1000</w:t>
            </w:r>
            <w:r>
              <w:rPr>
                <w:rFonts w:ascii="宋体" w:eastAsia="宋体" w:hAnsi="宋体" w:cs="宋体" w:hint="eastAsia"/>
                <w:color w:val="000000"/>
                <w:kern w:val="0"/>
                <w:sz w:val="24"/>
                <w:szCs w:val="24"/>
              </w:rPr>
              <w:t>亩，在新度镇建设莆阳历史文化创意产业园。</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荔城区新度镇人民政府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47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8</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妈祖文化特色小镇提升项目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“两岸幸福家园”改造、传统村落片区风貌整治、两岸心灵契合文创部落、危房加固改造工程、农村人居环境整治、景观绿化提升、湖石淉及周边生态水系综合整治、污水处理厂技改等工程。</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2019-2024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湄洲岛管委会</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406"/>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9</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南少林生态旅游</w:t>
            </w:r>
            <w:r>
              <w:rPr>
                <w:rFonts w:ascii="宋体" w:eastAsia="宋体" w:hAnsi="宋体" w:cs="宋体" w:hint="eastAsia"/>
                <w:color w:val="000000"/>
                <w:kern w:val="0"/>
                <w:sz w:val="24"/>
                <w:szCs w:val="24"/>
              </w:rPr>
              <w:t>4A</w:t>
            </w:r>
            <w:r>
              <w:rPr>
                <w:rFonts w:ascii="宋体" w:eastAsia="宋体" w:hAnsi="宋体" w:cs="宋体" w:hint="eastAsia"/>
                <w:color w:val="000000"/>
                <w:kern w:val="0"/>
                <w:sz w:val="24"/>
                <w:szCs w:val="24"/>
              </w:rPr>
              <w:t>景区项目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南少林寺提升、禅武演艺中心、游客服务中心、生态体验园、登山慢道、自然课堂、生态停车场、禅修书院、云端树屋、儿童体验园、观景台、野外营地、茶园、研学营地及配套设施等建设。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r>
              <w:rPr>
                <w:rStyle w:val="font11"/>
                <w:rFonts w:hint="default"/>
                <w:sz w:val="24"/>
                <w:szCs w:val="24"/>
              </w:rPr>
              <w:t>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莆田九莲山南少林文化开发有限公司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10</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莆田北高埕头珠宝城投资有限公司厂房及配套设施</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w:t>
            </w:r>
            <w:r>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13</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8</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12</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8</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10</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26</w:t>
            </w:r>
            <w:r>
              <w:rPr>
                <w:rFonts w:ascii="宋体" w:eastAsia="宋体" w:hAnsi="宋体" w:cs="宋体" w:hint="eastAsia"/>
                <w:color w:val="000000"/>
                <w:kern w:val="0"/>
                <w:sz w:val="24"/>
                <w:szCs w:val="24"/>
              </w:rPr>
              <w:t>层综合楼及配套设施，年研发加工及生产珠宝、玉器等工艺制品约</w:t>
            </w:r>
            <w:r>
              <w:rPr>
                <w:rFonts w:ascii="宋体" w:eastAsia="宋体" w:hAnsi="宋体" w:cs="宋体" w:hint="eastAsia"/>
                <w:color w:val="000000"/>
                <w:kern w:val="0"/>
                <w:sz w:val="24"/>
                <w:szCs w:val="24"/>
              </w:rPr>
              <w:t>600</w:t>
            </w:r>
            <w:r>
              <w:rPr>
                <w:rFonts w:ascii="宋体" w:eastAsia="宋体" w:hAnsi="宋体" w:cs="宋体" w:hint="eastAsia"/>
                <w:color w:val="000000"/>
                <w:kern w:val="0"/>
                <w:sz w:val="24"/>
                <w:szCs w:val="24"/>
              </w:rPr>
              <w:t>万件。</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r>
              <w:rPr>
                <w:rStyle w:val="font11"/>
                <w:rFonts w:hint="default"/>
                <w:sz w:val="24"/>
                <w:szCs w:val="24"/>
              </w:rPr>
              <w:t>015-2021</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莆田北高埕头珠宝城投资有限公司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685"/>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11</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“妈祖与海丝文化”综合开发工程</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项目拟建设世界妈祖朝圣中心和世界妈祖文化交流中心，打造世界妈祖文化产业中心，包括以影视动漫创作、文创产品研发、演艺节庆、艺术创作等四个基地为支撑的妈祖与海丝文化产业中心。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莆田市湄洲岛旅游建设集团有限公司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12</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上塘银饰小镇创建国家级</w:t>
            </w:r>
            <w:r>
              <w:rPr>
                <w:rFonts w:ascii="宋体" w:eastAsia="宋体" w:hAnsi="宋体" w:cs="宋体" w:hint="eastAsia"/>
                <w:color w:val="000000"/>
                <w:kern w:val="0"/>
                <w:sz w:val="24"/>
                <w:szCs w:val="24"/>
              </w:rPr>
              <w:t>4A</w:t>
            </w:r>
            <w:r>
              <w:rPr>
                <w:rFonts w:ascii="宋体" w:eastAsia="宋体" w:hAnsi="宋体" w:cs="宋体" w:hint="eastAsia"/>
                <w:color w:val="000000"/>
                <w:kern w:val="0"/>
                <w:sz w:val="24"/>
                <w:szCs w:val="24"/>
              </w:rPr>
              <w:t>景区</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上塘珠宝交易中心二期、银都产业园及上塘银饰小镇水系整治工程，上塘银饰文化艺术中心（博物馆）项目，总建筑面积</w:t>
            </w:r>
            <w:r>
              <w:rPr>
                <w:rFonts w:ascii="宋体" w:eastAsia="宋体" w:hAnsi="宋体" w:cs="宋体" w:hint="eastAsia"/>
                <w:color w:val="000000"/>
                <w:kern w:val="0"/>
                <w:sz w:val="24"/>
                <w:szCs w:val="24"/>
              </w:rPr>
              <w:t>21000</w:t>
            </w:r>
            <w:r>
              <w:rPr>
                <w:rFonts w:ascii="宋体" w:eastAsia="宋体" w:hAnsi="宋体" w:cs="宋体" w:hint="eastAsia"/>
                <w:color w:val="000000"/>
                <w:kern w:val="0"/>
                <w:sz w:val="24"/>
                <w:szCs w:val="24"/>
              </w:rPr>
              <w:t>㎡；市政景观工程；艺术集装箱项目；建筑外立面改造工程</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170000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秀屿区人民政府</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13</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钟潭片区项目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依托钟潭片区深厚的文化底蕴和丰富的文化自然资源，通过串联广化寺、钟潭、木兰陂，以文化创意、休闲旅游为载体，积极打造莆田文化和产业的高端“</w:t>
            </w:r>
            <w:r>
              <w:rPr>
                <w:rFonts w:ascii="宋体" w:eastAsia="宋体" w:hAnsi="宋体" w:cs="宋体" w:hint="eastAsia"/>
                <w:color w:val="000000"/>
                <w:kern w:val="0"/>
                <w:sz w:val="24"/>
                <w:szCs w:val="24"/>
              </w:rPr>
              <w:t>T</w:t>
            </w:r>
            <w:r>
              <w:rPr>
                <w:rFonts w:ascii="宋体" w:eastAsia="宋体" w:hAnsi="宋体" w:cs="宋体" w:hint="eastAsia"/>
                <w:color w:val="000000"/>
                <w:kern w:val="0"/>
                <w:sz w:val="24"/>
                <w:szCs w:val="24"/>
              </w:rPr>
              <w:t>型台”，引领城市升级，成为莆田新</w:t>
            </w:r>
            <w:r>
              <w:rPr>
                <w:rFonts w:ascii="宋体" w:eastAsia="宋体" w:hAnsi="宋体" w:cs="宋体" w:hint="eastAsia"/>
                <w:color w:val="000000"/>
                <w:kern w:val="0"/>
                <w:sz w:val="24"/>
                <w:szCs w:val="24"/>
              </w:rPr>
              <w:lastRenderedPageBreak/>
              <w:t>的城市名片、文化名片和旅游名片。</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福建钟潭文化旅游投资有限公司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14</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土海画村项目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建设城市文化地标综合文化馆</w:t>
            </w:r>
            <w:r>
              <w:rPr>
                <w:rFonts w:ascii="宋体" w:eastAsia="宋体" w:hAnsi="宋体" w:cs="宋体" w:hint="eastAsia"/>
                <w:color w:val="000000"/>
                <w:kern w:val="0"/>
                <w:sz w:val="24"/>
                <w:szCs w:val="24"/>
              </w:rPr>
              <w:t>20000</w:t>
            </w:r>
            <w:r>
              <w:rPr>
                <w:rFonts w:ascii="宋体" w:eastAsia="宋体" w:hAnsi="宋体" w:cs="宋体" w:hint="eastAsia"/>
                <w:color w:val="000000"/>
                <w:kern w:val="0"/>
                <w:sz w:val="24"/>
                <w:szCs w:val="24"/>
              </w:rPr>
              <w:t>㎡、企业馆</w:t>
            </w:r>
            <w:r>
              <w:rPr>
                <w:rFonts w:ascii="宋体" w:eastAsia="宋体" w:hAnsi="宋体" w:cs="宋体" w:hint="eastAsia"/>
                <w:color w:val="000000"/>
                <w:kern w:val="0"/>
                <w:sz w:val="24"/>
                <w:szCs w:val="24"/>
              </w:rPr>
              <w:t>11000</w:t>
            </w:r>
            <w:r>
              <w:rPr>
                <w:rFonts w:ascii="宋体" w:eastAsia="宋体" w:hAnsi="宋体" w:cs="宋体" w:hint="eastAsia"/>
                <w:color w:val="000000"/>
                <w:kern w:val="0"/>
                <w:sz w:val="24"/>
                <w:szCs w:val="24"/>
              </w:rPr>
              <w:t>㎡、特色文化建筑</w:t>
            </w:r>
            <w:r>
              <w:rPr>
                <w:rFonts w:ascii="宋体" w:eastAsia="宋体" w:hAnsi="宋体" w:cs="宋体" w:hint="eastAsia"/>
                <w:color w:val="000000"/>
                <w:kern w:val="0"/>
                <w:sz w:val="24"/>
                <w:szCs w:val="24"/>
              </w:rPr>
              <w:t>12000</w:t>
            </w:r>
            <w:r>
              <w:rPr>
                <w:rFonts w:ascii="宋体" w:eastAsia="宋体" w:hAnsi="宋体" w:cs="宋体" w:hint="eastAsia"/>
                <w:color w:val="000000"/>
                <w:kern w:val="0"/>
                <w:sz w:val="24"/>
                <w:szCs w:val="24"/>
              </w:rPr>
              <w:t>㎡、配套设施建设）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莆田市秀屿区新城建设有限公司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15</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莆田市涵江区萝苜田历史文化街区保护提升建设工程</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沿街路面改造、河道疏浚、古民居修缮工程、东方二十五坎民居修缮和旺菜池景观改造工程。管线下地、消防设施、道路绿化、公共配套、拆迁安置。</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203000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莆田市涵江区萝苜田开发建设有限公司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16</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湄洲岛南部综合度假中心</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借助滨海优质沙滩、原始生态植物、海上卧佛、妈祖平安里、礁石、海牙、海蚀洞等自然、人文资源，引进高端木屋度假酒店、大型滨海休闲运动设施，打造集休闲观光、海上运动、慢游生活、科普体验等于一体的综合度假中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湄洲岛管委会</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17</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海上不夜城项目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北岸</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项目拟整合妈祖阁西侧滞洪区</w:t>
            </w:r>
            <w:r>
              <w:rPr>
                <w:rFonts w:ascii="宋体" w:eastAsia="宋体" w:hAnsi="宋体" w:cs="宋体" w:hint="eastAsia"/>
                <w:color w:val="000000"/>
                <w:kern w:val="0"/>
                <w:sz w:val="24"/>
                <w:szCs w:val="24"/>
              </w:rPr>
              <w:t>918</w:t>
            </w:r>
            <w:r>
              <w:rPr>
                <w:rFonts w:ascii="宋体" w:eastAsia="宋体" w:hAnsi="宋体" w:cs="宋体" w:hint="eastAsia"/>
                <w:color w:val="000000"/>
                <w:kern w:val="0"/>
                <w:sz w:val="24"/>
                <w:szCs w:val="24"/>
              </w:rPr>
              <w:t>亩及</w:t>
            </w:r>
            <w:r>
              <w:rPr>
                <w:rFonts w:ascii="宋体" w:eastAsia="宋体" w:hAnsi="宋体" w:cs="宋体" w:hint="eastAsia"/>
                <w:color w:val="000000"/>
                <w:kern w:val="0"/>
                <w:sz w:val="24"/>
                <w:szCs w:val="24"/>
              </w:rPr>
              <w:t>2500</w:t>
            </w:r>
            <w:r>
              <w:rPr>
                <w:rFonts w:ascii="宋体" w:eastAsia="宋体" w:hAnsi="宋体" w:cs="宋体" w:hint="eastAsia"/>
                <w:color w:val="000000"/>
                <w:kern w:val="0"/>
                <w:sz w:val="24"/>
                <w:szCs w:val="24"/>
              </w:rPr>
              <w:t>亩收储用地，并结合盘屿岛一并开发，打造一片集游、娱、购、康养等文旅综合体，达到通往湄洲岛必经之路的妈祖文化特色。</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2021-2030</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北京正和恒基公司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2972"/>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18</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啤酒特色小镇</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该片区位于涵江区三江口镇，涉及鲸山村、杨芳村及哆中村等，拟用地面积约</w:t>
            </w:r>
            <w:r>
              <w:rPr>
                <w:rFonts w:ascii="宋体" w:eastAsia="宋体" w:hAnsi="宋体" w:cs="宋体" w:hint="eastAsia"/>
                <w:color w:val="000000"/>
                <w:kern w:val="0"/>
                <w:sz w:val="24"/>
                <w:szCs w:val="24"/>
              </w:rPr>
              <w:t>2000</w:t>
            </w:r>
            <w:r>
              <w:rPr>
                <w:rFonts w:ascii="宋体" w:eastAsia="宋体" w:hAnsi="宋体" w:cs="宋体" w:hint="eastAsia"/>
                <w:color w:val="000000"/>
                <w:kern w:val="0"/>
                <w:sz w:val="24"/>
                <w:szCs w:val="24"/>
              </w:rPr>
              <w:t>亩（不含变电站用地</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项目将依托百威雪津，以工业旅游为引擎，以主题活动为纽带，通过对啤酒文化的展现和产业的衍生，结合古村落和在地文化的保护性开发，着力打造“产、城、人文”高度融合的特色小镇。建设内容包含：人民街南伸项目、四个安置区项目、中小学项目、四条次干道项目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振兴乡村集团</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728"/>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19</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冰雪世界体育休闲旅游项目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体育场馆及商业两部分，其中商业部分占地</w:t>
            </w:r>
            <w:r>
              <w:rPr>
                <w:rFonts w:ascii="宋体" w:eastAsia="宋体" w:hAnsi="宋体" w:cs="宋体" w:hint="eastAsia"/>
                <w:color w:val="000000"/>
                <w:kern w:val="0"/>
                <w:sz w:val="24"/>
                <w:szCs w:val="24"/>
              </w:rPr>
              <w:t>195.45</w:t>
            </w:r>
            <w:r>
              <w:rPr>
                <w:rFonts w:ascii="宋体" w:eastAsia="宋体" w:hAnsi="宋体" w:cs="宋体" w:hint="eastAsia"/>
                <w:color w:val="000000"/>
                <w:kern w:val="0"/>
                <w:sz w:val="24"/>
                <w:szCs w:val="24"/>
              </w:rPr>
              <w:t>亩，主要建设内容包含运动员公寓、冰雪主题酒店、水上乐园、商业街及配套设施，体育部分占地</w:t>
            </w:r>
            <w:r>
              <w:rPr>
                <w:rFonts w:ascii="宋体" w:eastAsia="宋体" w:hAnsi="宋体" w:cs="宋体" w:hint="eastAsia"/>
                <w:color w:val="000000"/>
                <w:kern w:val="0"/>
                <w:sz w:val="24"/>
                <w:szCs w:val="24"/>
              </w:rPr>
              <w:t>349.99</w:t>
            </w:r>
            <w:r>
              <w:rPr>
                <w:rFonts w:ascii="宋体" w:eastAsia="宋体" w:hAnsi="宋体" w:cs="宋体" w:hint="eastAsia"/>
                <w:color w:val="000000"/>
                <w:kern w:val="0"/>
                <w:sz w:val="24"/>
                <w:szCs w:val="24"/>
              </w:rPr>
              <w:t>亩，主要建设内容包含滑雪馆、滑冰馆、冰雪嘉年华等。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501600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莆田市体育局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3886"/>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20</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莆田市秀屿区大蚶山地区修复及国家地质公园建设</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第一阶段为生态修复及废石尾矿资源综合利用，投资共计约</w:t>
            </w:r>
            <w:r>
              <w:rPr>
                <w:rFonts w:ascii="宋体" w:eastAsia="宋体" w:hAnsi="宋体" w:cs="宋体" w:hint="eastAsia"/>
                <w:color w:val="000000"/>
                <w:kern w:val="0"/>
                <w:sz w:val="24"/>
                <w:szCs w:val="24"/>
              </w:rPr>
              <w:t>10</w:t>
            </w:r>
            <w:r>
              <w:rPr>
                <w:rFonts w:ascii="宋体" w:eastAsia="宋体" w:hAnsi="宋体" w:cs="宋体" w:hint="eastAsia"/>
                <w:color w:val="000000"/>
                <w:kern w:val="0"/>
                <w:sz w:val="24"/>
                <w:szCs w:val="24"/>
              </w:rPr>
              <w:t>亿人民币。具体实施内容为恢复林地约</w:t>
            </w:r>
            <w:r>
              <w:rPr>
                <w:rFonts w:ascii="宋体" w:eastAsia="宋体" w:hAnsi="宋体" w:cs="宋体" w:hint="eastAsia"/>
                <w:color w:val="000000"/>
                <w:kern w:val="0"/>
                <w:sz w:val="24"/>
                <w:szCs w:val="24"/>
              </w:rPr>
              <w:t>5000</w:t>
            </w:r>
            <w:r>
              <w:rPr>
                <w:rFonts w:ascii="宋体" w:eastAsia="宋体" w:hAnsi="宋体" w:cs="宋体" w:hint="eastAsia"/>
                <w:color w:val="000000"/>
                <w:kern w:val="0"/>
                <w:sz w:val="24"/>
                <w:szCs w:val="24"/>
              </w:rPr>
              <w:t>亩。新增林地约</w:t>
            </w:r>
            <w:r>
              <w:rPr>
                <w:rFonts w:ascii="宋体" w:eastAsia="宋体" w:hAnsi="宋体" w:cs="宋体" w:hint="eastAsia"/>
                <w:color w:val="000000"/>
                <w:kern w:val="0"/>
                <w:sz w:val="24"/>
                <w:szCs w:val="24"/>
              </w:rPr>
              <w:t>200</w:t>
            </w:r>
            <w:r>
              <w:rPr>
                <w:rFonts w:ascii="宋体" w:eastAsia="宋体" w:hAnsi="宋体" w:cs="宋体" w:hint="eastAsia"/>
                <w:color w:val="000000"/>
                <w:kern w:val="0"/>
                <w:sz w:val="24"/>
                <w:szCs w:val="24"/>
              </w:rPr>
              <w:t>亩，新增耕地约</w:t>
            </w:r>
            <w:r>
              <w:rPr>
                <w:rFonts w:ascii="宋体" w:eastAsia="宋体" w:hAnsi="宋体" w:cs="宋体" w:hint="eastAsia"/>
                <w:color w:val="000000"/>
                <w:kern w:val="0"/>
                <w:sz w:val="24"/>
                <w:szCs w:val="24"/>
              </w:rPr>
              <w:t>1000</w:t>
            </w:r>
            <w:r>
              <w:rPr>
                <w:rFonts w:ascii="宋体" w:eastAsia="宋体" w:hAnsi="宋体" w:cs="宋体" w:hint="eastAsia"/>
                <w:color w:val="000000"/>
                <w:kern w:val="0"/>
                <w:sz w:val="24"/>
                <w:szCs w:val="24"/>
              </w:rPr>
              <w:t>亩，建设用地约</w:t>
            </w:r>
            <w:r>
              <w:rPr>
                <w:rFonts w:ascii="宋体" w:eastAsia="宋体" w:hAnsi="宋体" w:cs="宋体" w:hint="eastAsia"/>
                <w:color w:val="000000"/>
                <w:kern w:val="0"/>
                <w:sz w:val="24"/>
                <w:szCs w:val="24"/>
              </w:rPr>
              <w:t>2000</w:t>
            </w:r>
            <w:r>
              <w:rPr>
                <w:rFonts w:ascii="宋体" w:eastAsia="宋体" w:hAnsi="宋体" w:cs="宋体" w:hint="eastAsia"/>
                <w:color w:val="000000"/>
                <w:kern w:val="0"/>
                <w:sz w:val="24"/>
                <w:szCs w:val="24"/>
              </w:rPr>
              <w:t>亩，废石尾矿资源综合利用约</w:t>
            </w:r>
            <w:r>
              <w:rPr>
                <w:rFonts w:ascii="宋体" w:eastAsia="宋体" w:hAnsi="宋体" w:cs="宋体" w:hint="eastAsia"/>
                <w:color w:val="000000"/>
                <w:kern w:val="0"/>
                <w:sz w:val="24"/>
                <w:szCs w:val="24"/>
              </w:rPr>
              <w:t>1200</w:t>
            </w:r>
            <w:r>
              <w:rPr>
                <w:rFonts w:ascii="宋体" w:eastAsia="宋体" w:hAnsi="宋体" w:cs="宋体" w:hint="eastAsia"/>
                <w:color w:val="000000"/>
                <w:kern w:val="0"/>
                <w:sz w:val="24"/>
                <w:szCs w:val="24"/>
              </w:rPr>
              <w:t>万吨；第二阶段为国家地质公园建设，打造</w:t>
            </w:r>
            <w:r>
              <w:rPr>
                <w:rFonts w:ascii="宋体" w:eastAsia="宋体" w:hAnsi="宋体" w:cs="宋体" w:hint="eastAsia"/>
                <w:color w:val="000000"/>
                <w:kern w:val="0"/>
                <w:sz w:val="24"/>
                <w:szCs w:val="24"/>
              </w:rPr>
              <w:t>4A</w:t>
            </w:r>
            <w:r>
              <w:rPr>
                <w:rFonts w:ascii="宋体" w:eastAsia="宋体" w:hAnsi="宋体" w:cs="宋体" w:hint="eastAsia"/>
                <w:color w:val="000000"/>
                <w:kern w:val="0"/>
                <w:sz w:val="24"/>
                <w:szCs w:val="24"/>
              </w:rPr>
              <w:t>级景区。国家地质公园建设因地制宜，包括但不限于国家地质公园、特色博物馆、培训基地、两岸文化交流中心、研学基地、康养基地、中草药产业园、生态观光农业园、砂石料物资贸易园、节能环保产业园、特色直播基地（网红打卡地）、特色文旅项目及配套酒店、餐饮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w:t>
            </w:r>
            <w:r>
              <w:rPr>
                <w:rFonts w:ascii="宋体" w:eastAsia="宋体" w:hAnsi="宋体" w:cs="宋体" w:hint="eastAsia"/>
                <w:color w:val="000000"/>
                <w:kern w:val="0"/>
                <w:sz w:val="24"/>
                <w:szCs w:val="24"/>
              </w:rPr>
              <w:t>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中国地质物资有限公司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21</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绶溪公园片区开发建设项目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总用地面积</w:t>
            </w:r>
            <w:r>
              <w:rPr>
                <w:rFonts w:ascii="宋体" w:eastAsia="宋体" w:hAnsi="宋体" w:cs="宋体" w:hint="eastAsia"/>
                <w:color w:val="000000"/>
                <w:kern w:val="0"/>
                <w:sz w:val="24"/>
                <w:szCs w:val="24"/>
              </w:rPr>
              <w:t>5759</w:t>
            </w:r>
            <w:r>
              <w:rPr>
                <w:rFonts w:ascii="宋体" w:eastAsia="宋体" w:hAnsi="宋体" w:cs="宋体" w:hint="eastAsia"/>
                <w:color w:val="000000"/>
                <w:kern w:val="0"/>
                <w:sz w:val="24"/>
                <w:szCs w:val="24"/>
              </w:rPr>
              <w:t>亩，其中公园用地面积</w:t>
            </w:r>
            <w:r>
              <w:rPr>
                <w:rFonts w:ascii="宋体" w:eastAsia="宋体" w:hAnsi="宋体" w:cs="宋体" w:hint="eastAsia"/>
                <w:color w:val="000000"/>
                <w:kern w:val="0"/>
                <w:sz w:val="24"/>
                <w:szCs w:val="24"/>
              </w:rPr>
              <w:t>4332</w:t>
            </w:r>
            <w:r>
              <w:rPr>
                <w:rFonts w:ascii="宋体" w:eastAsia="宋体" w:hAnsi="宋体" w:cs="宋体" w:hint="eastAsia"/>
                <w:color w:val="000000"/>
                <w:kern w:val="0"/>
                <w:sz w:val="24"/>
                <w:szCs w:val="24"/>
              </w:rPr>
              <w:t>亩，计划总投资</w:t>
            </w:r>
            <w:r>
              <w:rPr>
                <w:rFonts w:ascii="宋体" w:eastAsia="宋体" w:hAnsi="宋体" w:cs="宋体" w:hint="eastAsia"/>
                <w:color w:val="000000"/>
                <w:kern w:val="0"/>
                <w:sz w:val="24"/>
                <w:szCs w:val="24"/>
              </w:rPr>
              <w:t>108</w:t>
            </w:r>
            <w:r>
              <w:rPr>
                <w:rFonts w:ascii="宋体" w:eastAsia="宋体" w:hAnsi="宋体" w:cs="宋体" w:hint="eastAsia"/>
                <w:color w:val="000000"/>
                <w:kern w:val="0"/>
                <w:sz w:val="24"/>
                <w:szCs w:val="24"/>
              </w:rPr>
              <w:t>亿元。主要分为生态公园、研学产业、民俗产业、非遗产业、度假产业、社区产业等六大产业体系。公园将建设成“最生态、最传统、最时尚”的城市会客厅，集休闲、文化、娱乐、度假等功能的复合型城市公园。</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1080000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2019-2025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莆田城市园林发展集团有限公司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22</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莆田西文创园</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东至莆田西高速路，西至山牌高架水渠，南至</w:t>
            </w:r>
            <w:r>
              <w:rPr>
                <w:rFonts w:ascii="宋体" w:eastAsia="宋体" w:hAnsi="宋体" w:cs="宋体" w:hint="eastAsia"/>
                <w:color w:val="000000"/>
                <w:kern w:val="0"/>
                <w:sz w:val="24"/>
                <w:szCs w:val="24"/>
              </w:rPr>
              <w:t>324</w:t>
            </w:r>
            <w:r>
              <w:rPr>
                <w:rFonts w:ascii="宋体" w:eastAsia="宋体" w:hAnsi="宋体" w:cs="宋体" w:hint="eastAsia"/>
                <w:color w:val="000000"/>
                <w:kern w:val="0"/>
                <w:sz w:val="24"/>
                <w:szCs w:val="24"/>
              </w:rPr>
              <w:t>国道，北临东圳引水渠，总用地面积约</w:t>
            </w:r>
            <w:r>
              <w:rPr>
                <w:rFonts w:ascii="宋体" w:eastAsia="宋体" w:hAnsi="宋体" w:cs="宋体" w:hint="eastAsia"/>
                <w:color w:val="000000"/>
                <w:kern w:val="0"/>
                <w:sz w:val="24"/>
                <w:szCs w:val="24"/>
              </w:rPr>
              <w:t>250</w:t>
            </w:r>
            <w:r>
              <w:rPr>
                <w:rFonts w:ascii="宋体" w:eastAsia="宋体" w:hAnsi="宋体" w:cs="宋体" w:hint="eastAsia"/>
                <w:color w:val="000000"/>
                <w:kern w:val="0"/>
                <w:sz w:val="24"/>
                <w:szCs w:val="24"/>
              </w:rPr>
              <w:t>亩，涉及旧房拆迁面积约</w:t>
            </w:r>
            <w:r>
              <w:rPr>
                <w:rFonts w:ascii="宋体" w:eastAsia="宋体" w:hAnsi="宋体" w:cs="宋体" w:hint="eastAsia"/>
                <w:color w:val="000000"/>
                <w:kern w:val="0"/>
                <w:sz w:val="24"/>
                <w:szCs w:val="24"/>
              </w:rPr>
              <w:t>4.2</w:t>
            </w:r>
            <w:r>
              <w:rPr>
                <w:rFonts w:ascii="宋体" w:eastAsia="宋体" w:hAnsi="宋体" w:cs="宋体" w:hint="eastAsia"/>
                <w:color w:val="000000"/>
                <w:kern w:val="0"/>
                <w:sz w:val="24"/>
                <w:szCs w:val="24"/>
              </w:rPr>
              <w:t>万平方米，拟打造成为莆田文化创意产业园。</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城厢区商务局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23</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莆田市白塘湖片区旅游开发项目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旧房改造建筑面积约</w:t>
            </w:r>
            <w:r>
              <w:rPr>
                <w:rFonts w:ascii="宋体" w:eastAsia="宋体" w:hAnsi="宋体" w:cs="宋体" w:hint="eastAsia"/>
                <w:color w:val="000000"/>
                <w:kern w:val="0"/>
                <w:sz w:val="24"/>
                <w:szCs w:val="24"/>
              </w:rPr>
              <w:t>240</w:t>
            </w:r>
            <w:r>
              <w:rPr>
                <w:rFonts w:ascii="宋体" w:eastAsia="宋体" w:hAnsi="宋体" w:cs="宋体" w:hint="eastAsia"/>
                <w:color w:val="000000"/>
                <w:kern w:val="0"/>
                <w:sz w:val="24"/>
                <w:szCs w:val="24"/>
              </w:rPr>
              <w:t>万平方米。建设集商业、文化创意、办公、文化旅游为一体的城市空间。启动区建设项目占地</w:t>
            </w:r>
            <w:r>
              <w:rPr>
                <w:rFonts w:ascii="宋体" w:eastAsia="宋体" w:hAnsi="宋体" w:cs="宋体" w:hint="eastAsia"/>
                <w:color w:val="000000"/>
                <w:kern w:val="0"/>
                <w:sz w:val="24"/>
                <w:szCs w:val="24"/>
              </w:rPr>
              <w:t>1200</w:t>
            </w:r>
            <w:r>
              <w:rPr>
                <w:rFonts w:ascii="宋体" w:eastAsia="宋体" w:hAnsi="宋体" w:cs="宋体" w:hint="eastAsia"/>
                <w:color w:val="000000"/>
                <w:kern w:val="0"/>
                <w:sz w:val="24"/>
                <w:szCs w:val="24"/>
              </w:rPr>
              <w:t>亩，旧房改造面积约</w:t>
            </w:r>
            <w:r>
              <w:rPr>
                <w:rFonts w:ascii="宋体" w:eastAsia="宋体" w:hAnsi="宋体" w:cs="宋体" w:hint="eastAsia"/>
                <w:color w:val="000000"/>
                <w:kern w:val="0"/>
                <w:sz w:val="24"/>
                <w:szCs w:val="24"/>
              </w:rPr>
              <w:t>240</w:t>
            </w:r>
            <w:r>
              <w:rPr>
                <w:rFonts w:ascii="宋体" w:eastAsia="宋体" w:hAnsi="宋体" w:cs="宋体" w:hint="eastAsia"/>
                <w:color w:val="000000"/>
                <w:kern w:val="0"/>
                <w:sz w:val="24"/>
                <w:szCs w:val="24"/>
              </w:rPr>
              <w:t>万平方米。</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白塘镇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24</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紫霄洞休闲旅游度假区项目（南普陀山</w:t>
            </w:r>
            <w:r>
              <w:rPr>
                <w:rFonts w:ascii="宋体" w:eastAsia="宋体" w:hAnsi="宋体" w:cs="宋体" w:hint="eastAsia"/>
                <w:color w:val="000000"/>
                <w:kern w:val="0"/>
                <w:sz w:val="24"/>
                <w:szCs w:val="24"/>
              </w:rPr>
              <w:t>5A</w:t>
            </w:r>
            <w:r>
              <w:rPr>
                <w:rFonts w:ascii="宋体" w:eastAsia="宋体" w:hAnsi="宋体" w:cs="宋体" w:hint="eastAsia"/>
                <w:color w:val="000000"/>
                <w:kern w:val="0"/>
                <w:sz w:val="24"/>
                <w:szCs w:val="24"/>
              </w:rPr>
              <w:t>级风景区）</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北岸</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项目系兴化沿海“春莆禧、夏天云、秋仙女、冬九鲤”四大祈梦圣境之一。另外，浮曦春赏作为“新莆田二十四景”之一，其中包含有紫霄洞景区、林壑幽异，岩石嵯峨。</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2020-2030</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北岸管委会</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25</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妈祖文化渔港经济区</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依托一级渔港，配套加冰加水加气以及船舶维修等设施，引进海上垂钓、休闲渔市、海鲜大排档、渔家民宿等，打造渔港旅游休闲体验经济区。</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湄洲岛渔港建设有限公司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26</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莆田九鲤湖创国家</w:t>
            </w:r>
            <w:r>
              <w:rPr>
                <w:rFonts w:ascii="宋体" w:eastAsia="宋体" w:hAnsi="宋体" w:cs="宋体" w:hint="eastAsia"/>
                <w:color w:val="000000"/>
                <w:kern w:val="0"/>
                <w:sz w:val="24"/>
                <w:szCs w:val="24"/>
              </w:rPr>
              <w:t>5A</w:t>
            </w:r>
            <w:r>
              <w:rPr>
                <w:rFonts w:ascii="宋体" w:eastAsia="宋体" w:hAnsi="宋体" w:cs="宋体" w:hint="eastAsia"/>
                <w:color w:val="000000"/>
                <w:kern w:val="0"/>
                <w:sz w:val="24"/>
                <w:szCs w:val="24"/>
              </w:rPr>
              <w:t>级景区和菜溪岩创国家</w:t>
            </w:r>
            <w:r>
              <w:rPr>
                <w:rFonts w:ascii="宋体" w:eastAsia="宋体" w:hAnsi="宋体" w:cs="宋体" w:hint="eastAsia"/>
                <w:color w:val="000000"/>
                <w:kern w:val="0"/>
                <w:sz w:val="24"/>
                <w:szCs w:val="24"/>
              </w:rPr>
              <w:t>4A</w:t>
            </w:r>
            <w:r>
              <w:rPr>
                <w:rFonts w:ascii="宋体" w:eastAsia="宋体" w:hAnsi="宋体" w:cs="宋体" w:hint="eastAsia"/>
                <w:color w:val="000000"/>
                <w:kern w:val="0"/>
                <w:sz w:val="24"/>
                <w:szCs w:val="24"/>
              </w:rPr>
              <w:t>级景区</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建设星级酒店、九鲤湖景区新湖工程和周边景观工程、梦文化博物馆，菜溪岩景区迎宾道路、游客服务中心等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2015-2021</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仙游县旅游开发总公司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835"/>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27</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灵川下尾沙滩文化公园</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总体规划面积</w:t>
            </w:r>
            <w:r>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亩，其中水域面积</w:t>
            </w:r>
            <w:r>
              <w:rPr>
                <w:rFonts w:ascii="宋体" w:eastAsia="宋体" w:hAnsi="宋体" w:cs="宋体" w:hint="eastAsia"/>
                <w:color w:val="000000"/>
                <w:kern w:val="0"/>
                <w:sz w:val="24"/>
                <w:szCs w:val="24"/>
              </w:rPr>
              <w:t>50</w:t>
            </w:r>
            <w:r>
              <w:rPr>
                <w:rFonts w:ascii="宋体" w:eastAsia="宋体" w:hAnsi="宋体" w:cs="宋体" w:hint="eastAsia"/>
                <w:color w:val="000000"/>
                <w:kern w:val="0"/>
                <w:sz w:val="24"/>
                <w:szCs w:val="24"/>
              </w:rPr>
              <w:t>亩，建设沙滩文化公园、大型沙滩泳场、沙滩水上乐园、沙滩体育娱乐活动中心，儿童游乐场、可举办各种大型沙滩文化活动、亲子趣味活动、沙滩音乐节、美食节风筝节等文娱活动。</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城厢区文旅局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3628"/>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28</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仙游县游乐场项目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w:t>
            </w:r>
            <w:r>
              <w:rPr>
                <w:rFonts w:ascii="宋体" w:eastAsia="宋体" w:hAnsi="宋体" w:cs="宋体" w:hint="eastAsia"/>
                <w:color w:val="000000"/>
                <w:kern w:val="0"/>
                <w:sz w:val="24"/>
                <w:szCs w:val="24"/>
              </w:rPr>
              <w:t>300</w:t>
            </w:r>
            <w:r>
              <w:rPr>
                <w:rFonts w:ascii="宋体" w:eastAsia="宋体" w:hAnsi="宋体" w:cs="宋体" w:hint="eastAsia"/>
                <w:color w:val="000000"/>
                <w:kern w:val="0"/>
                <w:sz w:val="24"/>
                <w:szCs w:val="24"/>
              </w:rPr>
              <w:t>亩，分为一期实景版块、二期配套版块、三期科创主题乐园版块。一是实景版块，占地</w:t>
            </w:r>
            <w:r>
              <w:rPr>
                <w:rFonts w:ascii="宋体" w:eastAsia="宋体" w:hAnsi="宋体" w:cs="宋体" w:hint="eastAsia"/>
                <w:color w:val="000000"/>
                <w:kern w:val="0"/>
                <w:sz w:val="24"/>
                <w:szCs w:val="24"/>
              </w:rPr>
              <w:t>50</w:t>
            </w:r>
            <w:r>
              <w:rPr>
                <w:rFonts w:ascii="宋体" w:eastAsia="宋体" w:hAnsi="宋体" w:cs="宋体" w:hint="eastAsia"/>
                <w:color w:val="000000"/>
                <w:kern w:val="0"/>
                <w:sz w:val="24"/>
                <w:szCs w:val="24"/>
              </w:rPr>
              <w:t>亩，打造极富科技感的“梦向东南”</w:t>
            </w:r>
            <w:r>
              <w:rPr>
                <w:rFonts w:ascii="宋体" w:eastAsia="宋体" w:hAnsi="宋体" w:cs="宋体" w:hint="eastAsia"/>
                <w:color w:val="000000"/>
                <w:kern w:val="0"/>
                <w:sz w:val="24"/>
                <w:szCs w:val="24"/>
              </w:rPr>
              <w:t>3R</w:t>
            </w:r>
            <w:r>
              <w:rPr>
                <w:rFonts w:ascii="宋体" w:eastAsia="宋体" w:hAnsi="宋体" w:cs="宋体" w:hint="eastAsia"/>
                <w:color w:val="000000"/>
                <w:kern w:val="0"/>
                <w:sz w:val="24"/>
                <w:szCs w:val="24"/>
              </w:rPr>
              <w:t>（增强现实技术</w:t>
            </w:r>
            <w:r>
              <w:rPr>
                <w:rFonts w:ascii="宋体" w:eastAsia="宋体" w:hAnsi="宋体" w:cs="宋体" w:hint="eastAsia"/>
                <w:color w:val="000000"/>
                <w:kern w:val="0"/>
                <w:sz w:val="24"/>
                <w:szCs w:val="24"/>
              </w:rPr>
              <w:t>AR</w:t>
            </w:r>
            <w:r>
              <w:rPr>
                <w:rFonts w:ascii="宋体" w:eastAsia="宋体" w:hAnsi="宋体" w:cs="宋体" w:hint="eastAsia"/>
                <w:color w:val="000000"/>
                <w:kern w:val="0"/>
                <w:sz w:val="24"/>
                <w:szCs w:val="24"/>
              </w:rPr>
              <w:t>、虚拟现实技术</w:t>
            </w:r>
            <w:r>
              <w:rPr>
                <w:rFonts w:ascii="宋体" w:eastAsia="宋体" w:hAnsi="宋体" w:cs="宋体" w:hint="eastAsia"/>
                <w:color w:val="000000"/>
                <w:kern w:val="0"/>
                <w:sz w:val="24"/>
                <w:szCs w:val="24"/>
              </w:rPr>
              <w:t>VR</w:t>
            </w:r>
            <w:r>
              <w:rPr>
                <w:rFonts w:ascii="宋体" w:eastAsia="宋体" w:hAnsi="宋体" w:cs="宋体" w:hint="eastAsia"/>
                <w:color w:val="000000"/>
                <w:kern w:val="0"/>
                <w:sz w:val="24"/>
                <w:szCs w:val="24"/>
              </w:rPr>
              <w:t>、混合现实技术</w:t>
            </w:r>
            <w:r>
              <w:rPr>
                <w:rFonts w:ascii="宋体" w:eastAsia="宋体" w:hAnsi="宋体" w:cs="宋体" w:hint="eastAsia"/>
                <w:color w:val="000000"/>
                <w:kern w:val="0"/>
                <w:sz w:val="24"/>
                <w:szCs w:val="24"/>
              </w:rPr>
              <w:t>MR</w:t>
            </w:r>
            <w:r>
              <w:rPr>
                <w:rFonts w:ascii="宋体" w:eastAsia="宋体" w:hAnsi="宋体" w:cs="宋体" w:hint="eastAsia"/>
                <w:color w:val="000000"/>
                <w:kern w:val="0"/>
                <w:sz w:val="24"/>
                <w:szCs w:val="24"/>
              </w:rPr>
              <w:t>）沉浸式舞台，舞台面积</w:t>
            </w:r>
            <w:r>
              <w:rPr>
                <w:rFonts w:ascii="宋体" w:eastAsia="宋体" w:hAnsi="宋体" w:cs="宋体" w:hint="eastAsia"/>
                <w:color w:val="000000"/>
                <w:kern w:val="0"/>
                <w:sz w:val="24"/>
                <w:szCs w:val="24"/>
              </w:rPr>
              <w:t>15000</w:t>
            </w:r>
            <w:r>
              <w:rPr>
                <w:rFonts w:ascii="宋体" w:eastAsia="宋体" w:hAnsi="宋体" w:cs="宋体" w:hint="eastAsia"/>
                <w:color w:val="000000"/>
                <w:kern w:val="0"/>
                <w:sz w:val="24"/>
                <w:szCs w:val="24"/>
              </w:rPr>
              <w:t>平米，观众席</w:t>
            </w:r>
            <w:r>
              <w:rPr>
                <w:rFonts w:ascii="宋体" w:eastAsia="宋体" w:hAnsi="宋体" w:cs="宋体" w:hint="eastAsia"/>
                <w:color w:val="000000"/>
                <w:kern w:val="0"/>
                <w:sz w:val="24"/>
                <w:szCs w:val="24"/>
              </w:rPr>
              <w:t>5000</w:t>
            </w:r>
            <w:r>
              <w:rPr>
                <w:rFonts w:ascii="宋体" w:eastAsia="宋体" w:hAnsi="宋体" w:cs="宋体" w:hint="eastAsia"/>
                <w:color w:val="000000"/>
                <w:kern w:val="0"/>
                <w:sz w:val="24"/>
                <w:szCs w:val="24"/>
              </w:rPr>
              <w:t>平米，预计年门票收</w:t>
            </w:r>
            <w:r>
              <w:rPr>
                <w:rFonts w:ascii="宋体" w:eastAsia="宋体" w:hAnsi="宋体" w:cs="宋体" w:hint="eastAsia"/>
                <w:color w:val="000000"/>
                <w:kern w:val="0"/>
                <w:sz w:val="24"/>
                <w:szCs w:val="24"/>
              </w:rPr>
              <w:t>7000</w:t>
            </w:r>
            <w:r>
              <w:rPr>
                <w:rFonts w:ascii="宋体" w:eastAsia="宋体" w:hAnsi="宋体" w:cs="宋体" w:hint="eastAsia"/>
                <w:color w:val="000000"/>
                <w:kern w:val="0"/>
                <w:sz w:val="24"/>
                <w:szCs w:val="24"/>
              </w:rPr>
              <w:t>万元；二是配套版块，占地</w:t>
            </w:r>
            <w:r>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亩，包含美食城、东南亚民俗时尚街</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非遗大师手工艺品</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、酒店、民宿等配套设施；三是科创主题乐园版块，体验式主题乐园板块，占地</w:t>
            </w:r>
            <w:r>
              <w:rPr>
                <w:rFonts w:ascii="宋体" w:eastAsia="宋体" w:hAnsi="宋体" w:cs="宋体" w:hint="eastAsia"/>
                <w:color w:val="000000"/>
                <w:kern w:val="0"/>
                <w:sz w:val="24"/>
                <w:szCs w:val="24"/>
              </w:rPr>
              <w:t>150</w:t>
            </w:r>
            <w:r>
              <w:rPr>
                <w:rFonts w:ascii="宋体" w:eastAsia="宋体" w:hAnsi="宋体" w:cs="宋体" w:hint="eastAsia"/>
                <w:color w:val="000000"/>
                <w:kern w:val="0"/>
                <w:sz w:val="24"/>
                <w:szCs w:val="24"/>
              </w:rPr>
              <w:t>亩，包含创科园（奇幻主题乐园），配套</w:t>
            </w:r>
            <w:r>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个室内影厅，</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个魔幻剧场，旅游集散中心等。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2023-2030</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仙游县文旅局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1911"/>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29</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南日岛全域旅游开发建设项目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九重山景区基础设施工程、莆田市秀屿区南日岛集镇区配套设施提升工程、莆田市秀屿区南日岛中国海钓基地旅游开发配套工程、南日岛“一岛一议”项目、南日海上田园综合体工程等建设项目</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南日镇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1148"/>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30</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东海镇滨海休闲游观光区项目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游轮码头风光及滨海大道慢道系统，创建以西厝特色海鲜餐饮、西黄海边宿营、东海蔡厝游轮码头、东海海滨休闲等为特色的滨海型旅游景区。</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城厢区文旅局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31</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天宇兰溪蓬莱项目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位于华亭镇西许村后坑自然村，由莆田市天宇林业开发有限公司负责规划、投</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资、建设、运营。林下经济产业文创景区由一区五园构成：即中草药植物园、四季百花及果园、农耕牧歌休闲生态园、</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莆田美食特色园、森林康养服务园和林下经济文创景区配套服务区组成。本项目总占地积近三千亩，分三期实施，五年内基本完成林下经济文创景区建设。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城厢区商务局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32</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灵川“最美海岸线”文旅休闲带项目</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加大基础设施建设投入，修建</w:t>
            </w:r>
            <w:r>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公里海岸栈道景观带，岸上灵川特色饮食长廊、码头民宿群、夜景漫道路、海产品自助交易区；岸下滩涂赶海体验基地、沙滩风筝艺术节，同时依托国内首条过境灵川跨海高速铁路景观，打造网红打卡观光点。</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城厢区文旅局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33</w:t>
            </w:r>
          </w:p>
        </w:tc>
        <w:tc>
          <w:tcPr>
            <w:tcW w:w="143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海峡艺雕旅游城二期</w:t>
            </w:r>
          </w:p>
        </w:tc>
        <w:tc>
          <w:tcPr>
            <w:tcW w:w="1223"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w:t>
            </w:r>
            <w:r>
              <w:rPr>
                <w:rFonts w:ascii="宋体" w:eastAsia="宋体" w:hAnsi="宋体" w:cs="宋体" w:hint="eastAsia"/>
                <w:color w:val="000000"/>
                <w:kern w:val="0"/>
                <w:sz w:val="24"/>
                <w:szCs w:val="24"/>
              </w:rPr>
              <w:t>23</w:t>
            </w:r>
            <w:r>
              <w:rPr>
                <w:rFonts w:ascii="宋体" w:eastAsia="宋体" w:hAnsi="宋体" w:cs="宋体" w:hint="eastAsia"/>
                <w:color w:val="000000"/>
                <w:kern w:val="0"/>
                <w:sz w:val="24"/>
                <w:szCs w:val="24"/>
              </w:rPr>
              <w:t>亩，对接有实力的企业，邀请参与建设，项目主要目标是把握艺雕设计的新思潮、新理念，跟踪和把握艺雕的新技术、新材料，通过交流和协作，触发艺雕产业集群与新产品设计灵感，推进高新技术在艺雕产业中的运用，引领时尚潮流，形成特色鲜明且与国际接轨的产品风格，智造研发中心的功能重点是展示与信息的交流。功能格局由以下几部分组成：产品研发中心、概念艺雕馆、品牌艺雕馆、大师作品馆、工艺大师工作室、专业图书馆、报告厅、会议厅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度尾镇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66"/>
          <w:jc w:val="center"/>
        </w:trPr>
        <w:tc>
          <w:tcPr>
            <w:tcW w:w="14147" w:type="dxa"/>
            <w:gridSpan w:val="10"/>
            <w:vAlign w:val="center"/>
          </w:tcPr>
          <w:p w:rsidR="000816CE" w:rsidRDefault="00FC7BEB">
            <w:pPr>
              <w:widowControl/>
              <w:spacing w:line="240" w:lineRule="auto"/>
              <w:ind w:firstLineChars="0" w:firstLine="0"/>
              <w:jc w:val="left"/>
              <w:textAlignment w:val="center"/>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家政服务业</w:t>
            </w:r>
          </w:p>
        </w:tc>
      </w:tr>
      <w:tr w:rsidR="000816CE">
        <w:trPr>
          <w:trHeight w:val="1085"/>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莆田信用信息平台项目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搭建莆田市家政服务企业、家政从业人员信用信息平台，对接国家家政服务信用信息平台，推进家政服务业信用体系建设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莆田市商务局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莆田家政服务专业人才培训机构项目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联合凤凰家政、雅洁家政等企业与本地职业学校共同成立家政服务人才培训机构，提升从业人员专业水平</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城厢区、荔城区教育局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社区家政服务试点项目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鼓励家政服务企业入驻社区，在城厢区、荔城区等中心城区设立社区家政服务试点</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城厢区、荔城区民政局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98"/>
          <w:jc w:val="center"/>
        </w:trPr>
        <w:tc>
          <w:tcPr>
            <w:tcW w:w="13100" w:type="dxa"/>
            <w:gridSpan w:val="9"/>
            <w:vAlign w:val="center"/>
          </w:tcPr>
          <w:p w:rsidR="000816CE" w:rsidRDefault="00FC7BEB">
            <w:pPr>
              <w:widowControl/>
              <w:spacing w:line="240" w:lineRule="auto"/>
              <w:ind w:firstLineChars="0" w:firstLine="0"/>
              <w:jc w:val="left"/>
              <w:textAlignment w:val="center"/>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健康服务</w:t>
            </w:r>
          </w:p>
        </w:tc>
        <w:tc>
          <w:tcPr>
            <w:tcW w:w="1047" w:type="dxa"/>
            <w:vAlign w:val="center"/>
          </w:tcPr>
          <w:p w:rsidR="000816CE" w:rsidRDefault="000816CE">
            <w:pPr>
              <w:widowControl/>
              <w:spacing w:line="240" w:lineRule="auto"/>
              <w:ind w:firstLineChars="0" w:firstLine="0"/>
              <w:jc w:val="center"/>
              <w:textAlignment w:val="center"/>
              <w:rPr>
                <w:rFonts w:ascii="宋体" w:eastAsia="宋体" w:hAnsi="宋体" w:cs="宋体"/>
                <w:b/>
                <w:bCs/>
                <w:color w:val="000000"/>
                <w:kern w:val="0"/>
                <w:sz w:val="24"/>
                <w:szCs w:val="24"/>
              </w:rPr>
            </w:pP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游洋田园</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康养</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综合体项目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仙游游洋田园</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康养</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综合体以文化旅游、科技双创优势资源为基础，突出四生（生态、生产、生活、生命体验）要素，以生态为基、生产为要、生活为归、生命为本，四生融合、协调、统一的功能性社区。本项目按照田园</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康养</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综合体建设的总体思路，将仙游游洋田园</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康养</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综合体建设成为国家康养示范基地、落实国家精准扶贫的生态示范工程、旅游休闲圣地、循环生态农业示范样板和食品安全冷链物流示范基地</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蓝城集团</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中国老龄委</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西苑山世界徒步公园</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依托“云上水乡”度假区、九座寺、无尘塔优质文化资源和西苑山山岳、十八股头等自然优势，开发多条亚高山徒步线路，打造吸引徒步爱好者运动的徒步公园</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中旅智业文化发展（深圳）有限公司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莆田市秀屿区休闲体育公园</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建设有健身馆、标准体育场及相关配套建筑、儿童乐园、亲水平台、大型游乐等项目及周边配套。</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128000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秀屿区毓秀文旅有限公司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国恒医药产业园二期项目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项目位于滨海大道北侧，二期拟建设</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幢厂房及</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幢综合楼，总建筑面积约</w:t>
            </w:r>
            <w:r>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万平方米，总投资约</w:t>
            </w:r>
            <w:r>
              <w:rPr>
                <w:rFonts w:ascii="宋体" w:eastAsia="宋体" w:hAnsi="宋体" w:cs="宋体" w:hint="eastAsia"/>
                <w:color w:val="000000"/>
                <w:kern w:val="0"/>
                <w:sz w:val="24"/>
                <w:szCs w:val="24"/>
              </w:rPr>
              <w:t>6000</w:t>
            </w:r>
            <w:r>
              <w:rPr>
                <w:rFonts w:ascii="宋体" w:eastAsia="宋体" w:hAnsi="宋体" w:cs="宋体" w:hint="eastAsia"/>
                <w:color w:val="000000"/>
                <w:kern w:val="0"/>
                <w:sz w:val="24"/>
                <w:szCs w:val="24"/>
              </w:rPr>
              <w:t>万元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00"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涵江国恒投资有限公司</w:t>
            </w:r>
          </w:p>
        </w:tc>
        <w:tc>
          <w:tcPr>
            <w:tcW w:w="1078"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妈祖健康城</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北岸</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规划面积</w:t>
            </w:r>
            <w:r>
              <w:rPr>
                <w:rFonts w:ascii="宋体" w:eastAsia="宋体" w:hAnsi="宋体" w:cs="宋体" w:hint="eastAsia"/>
                <w:color w:val="000000"/>
                <w:kern w:val="0"/>
                <w:sz w:val="24"/>
                <w:szCs w:val="24"/>
              </w:rPr>
              <w:t>8</w:t>
            </w:r>
            <w:r>
              <w:rPr>
                <w:rFonts w:ascii="宋体" w:eastAsia="宋体" w:hAnsi="宋体" w:cs="宋体" w:hint="eastAsia"/>
                <w:color w:val="000000"/>
                <w:kern w:val="0"/>
                <w:sz w:val="24"/>
                <w:szCs w:val="24"/>
              </w:rPr>
              <w:t>平方公里，分为专科医院集群（含心血管、牙科、疼痛、肿瘤等专科医院），医学研发基地（中关村医学转换中心）、教育培训基地（东南医学院）、康养社区等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2018-2022</w:t>
            </w:r>
          </w:p>
        </w:tc>
        <w:tc>
          <w:tcPr>
            <w:tcW w:w="1300"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莆田市医疗健康产业投资有限公司</w:t>
            </w:r>
          </w:p>
        </w:tc>
        <w:tc>
          <w:tcPr>
            <w:tcW w:w="1078"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新县镇湘溪康养小镇项目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计划对新县湘溪沿线进行多元化开发，建成后可成为集文化旅游、研学教育、体育运动、养生养老及休闲度假为一体的宜居、宜业、宜游、宜养的全龄段康养特色小镇，深度推进农林文旅康融合发展。</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00"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田螺山（福建）康养小镇综合开发有限公司</w:t>
            </w:r>
          </w:p>
        </w:tc>
        <w:tc>
          <w:tcPr>
            <w:tcW w:w="1078"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621"/>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7</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巨鼎绿能项目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引进台湾杏洋生医干细胞产业机构，主营业务分别是：医疗服务的杏祥诊所、细胞技术研发中心的杏洋细胞实验室、细胞衍生物开发的和肽生医、特定细胞技术开发的大陆杏洋生医。项目投产后年产值约</w:t>
            </w:r>
            <w:r>
              <w:rPr>
                <w:rFonts w:ascii="宋体" w:eastAsia="宋体" w:hAnsi="宋体" w:cs="宋体"/>
                <w:color w:val="000000"/>
                <w:kern w:val="0"/>
                <w:sz w:val="24"/>
                <w:szCs w:val="24"/>
              </w:rPr>
              <w:t>1.25</w:t>
            </w:r>
            <w:r>
              <w:rPr>
                <w:rFonts w:ascii="宋体" w:eastAsia="宋体" w:hAnsi="宋体" w:cs="宋体"/>
                <w:color w:val="000000"/>
                <w:kern w:val="0"/>
                <w:sz w:val="24"/>
                <w:szCs w:val="24"/>
              </w:rPr>
              <w:t>亿元，年纳税</w:t>
            </w:r>
            <w:r>
              <w:rPr>
                <w:rFonts w:ascii="宋体" w:eastAsia="宋体" w:hAnsi="宋体" w:cs="宋体"/>
                <w:color w:val="000000"/>
                <w:kern w:val="0"/>
                <w:sz w:val="24"/>
                <w:szCs w:val="24"/>
              </w:rPr>
              <w:t>1100</w:t>
            </w:r>
            <w:r>
              <w:rPr>
                <w:rFonts w:ascii="宋体" w:eastAsia="宋体" w:hAnsi="宋体" w:cs="宋体"/>
                <w:color w:val="000000"/>
                <w:kern w:val="0"/>
                <w:sz w:val="24"/>
                <w:szCs w:val="24"/>
              </w:rPr>
              <w:t>万以上。</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00"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定邦（福建）置业有限公司</w:t>
            </w:r>
          </w:p>
        </w:tc>
        <w:tc>
          <w:tcPr>
            <w:tcW w:w="1078"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375"/>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8</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龙东、龙西乡村旅游康养项目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在龙东村、龙西村等地进行土地流转，投资开展以乡村旅游、康养、农业开发、乡村富余劳动力职业技能培训、乡村电商等项目，以促进当地农业增效、增收、增绿，打造循环生态农业产业链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白沙镇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trHeight w:val="1353"/>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9</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南坛温泉度假村乡韵文化康养中心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主要建设露天园林泡池、大型温泉泳池温泉</w:t>
            </w:r>
            <w:r>
              <w:rPr>
                <w:rFonts w:ascii="宋体" w:eastAsia="宋体" w:hAnsi="宋体" w:cs="宋体" w:hint="eastAsia"/>
                <w:color w:val="000000"/>
                <w:kern w:val="0"/>
                <w:sz w:val="24"/>
                <w:szCs w:val="24"/>
              </w:rPr>
              <w:t>SPA</w:t>
            </w:r>
            <w:r>
              <w:rPr>
                <w:rFonts w:ascii="宋体" w:eastAsia="宋体" w:hAnsi="宋体" w:cs="宋体" w:hint="eastAsia"/>
                <w:color w:val="000000"/>
                <w:kern w:val="0"/>
                <w:sz w:val="24"/>
                <w:szCs w:val="24"/>
              </w:rPr>
              <w:t>中心、文化艺术品交流中心、温泉农庄餐厅、天然垂钓场等。年可接待游客</w:t>
            </w:r>
            <w:r>
              <w:rPr>
                <w:rFonts w:ascii="宋体" w:eastAsia="宋体" w:hAnsi="宋体" w:cs="宋体" w:hint="eastAsia"/>
                <w:color w:val="000000"/>
                <w:kern w:val="0"/>
                <w:sz w:val="24"/>
                <w:szCs w:val="24"/>
              </w:rPr>
              <w:t>6</w:t>
            </w:r>
            <w:r>
              <w:rPr>
                <w:rFonts w:ascii="宋体" w:eastAsia="宋体" w:hAnsi="宋体" w:cs="宋体" w:hint="eastAsia"/>
                <w:color w:val="000000"/>
                <w:kern w:val="0"/>
                <w:sz w:val="24"/>
                <w:szCs w:val="24"/>
              </w:rPr>
              <w:t>万人次，年产值</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亿元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30000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highlight w:val="yellow"/>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南坛温泉度假村有限公司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highlight w:val="yellow"/>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10</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新县镇湘溪康养小镇项目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计划对新县湘溪沿线进行多元化开发，建成后可成为集文化旅游、研学教育、体育运动、养生养老及休闲度假为一体的宜居、宜业、宜游、宜养的全龄段康养特色小镇</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40000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新县镇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11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涵江区萩芦镇农民健身中心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）建设</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座</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层室内运动馆，建筑面积</w:t>
            </w:r>
            <w:r>
              <w:rPr>
                <w:rFonts w:ascii="宋体" w:eastAsia="宋体" w:hAnsi="宋体" w:cs="宋体" w:hint="eastAsia"/>
                <w:color w:val="000000"/>
                <w:kern w:val="0"/>
                <w:sz w:val="24"/>
                <w:szCs w:val="24"/>
              </w:rPr>
              <w:t>518m2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）建设</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座</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层室内游泳馆，建筑面积</w:t>
            </w:r>
            <w:r>
              <w:rPr>
                <w:rFonts w:ascii="宋体" w:eastAsia="宋体" w:hAnsi="宋体" w:cs="宋体" w:hint="eastAsia"/>
                <w:color w:val="000000"/>
                <w:kern w:val="0"/>
                <w:sz w:val="24"/>
                <w:szCs w:val="24"/>
              </w:rPr>
              <w:t>1097m2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）篮球场建设面积</w:t>
            </w:r>
            <w:r>
              <w:rPr>
                <w:rFonts w:ascii="宋体" w:eastAsia="宋体" w:hAnsi="宋体" w:cs="宋体" w:hint="eastAsia"/>
                <w:color w:val="000000"/>
                <w:kern w:val="0"/>
                <w:sz w:val="24"/>
                <w:szCs w:val="24"/>
              </w:rPr>
              <w:t>1237m2</w:t>
            </w:r>
            <w:r>
              <w:rPr>
                <w:rFonts w:ascii="宋体" w:eastAsia="宋体" w:hAnsi="宋体" w:cs="宋体" w:hint="eastAsia"/>
                <w:color w:val="000000"/>
                <w:kern w:val="0"/>
                <w:sz w:val="24"/>
                <w:szCs w:val="24"/>
              </w:rPr>
              <w:t>、排球场建设面积</w:t>
            </w:r>
            <w:r>
              <w:rPr>
                <w:rFonts w:ascii="宋体" w:eastAsia="宋体" w:hAnsi="宋体" w:cs="宋体" w:hint="eastAsia"/>
                <w:color w:val="000000"/>
                <w:kern w:val="0"/>
                <w:sz w:val="24"/>
                <w:szCs w:val="24"/>
              </w:rPr>
              <w:t>364m2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330m</w:t>
            </w:r>
            <w:r>
              <w:rPr>
                <w:rFonts w:ascii="宋体" w:eastAsia="宋体" w:hAnsi="宋体" w:cs="宋体" w:hint="eastAsia"/>
                <w:color w:val="000000"/>
                <w:kern w:val="0"/>
                <w:sz w:val="24"/>
                <w:szCs w:val="24"/>
              </w:rPr>
              <w:t>塑胶跑道工程建设面积</w:t>
            </w:r>
            <w:r>
              <w:rPr>
                <w:rFonts w:ascii="宋体" w:eastAsia="宋体" w:hAnsi="宋体" w:cs="宋体" w:hint="eastAsia"/>
                <w:color w:val="000000"/>
                <w:kern w:val="0"/>
                <w:sz w:val="24"/>
                <w:szCs w:val="24"/>
              </w:rPr>
              <w:t>660m2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）活动广场建设面积</w:t>
            </w:r>
            <w:r>
              <w:rPr>
                <w:rFonts w:ascii="宋体" w:eastAsia="宋体" w:hAnsi="宋体" w:cs="宋体" w:hint="eastAsia"/>
                <w:color w:val="000000"/>
                <w:kern w:val="0"/>
                <w:sz w:val="24"/>
                <w:szCs w:val="24"/>
              </w:rPr>
              <w:t>780m2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6</w:t>
            </w:r>
            <w:r>
              <w:rPr>
                <w:rFonts w:ascii="宋体" w:eastAsia="宋体" w:hAnsi="宋体" w:cs="宋体" w:hint="eastAsia"/>
                <w:color w:val="000000"/>
                <w:kern w:val="0"/>
                <w:sz w:val="24"/>
                <w:szCs w:val="24"/>
              </w:rPr>
              <w:t>）活动舞台建设面积</w:t>
            </w:r>
            <w:r>
              <w:rPr>
                <w:rFonts w:ascii="宋体" w:eastAsia="宋体" w:hAnsi="宋体" w:cs="宋体" w:hint="eastAsia"/>
                <w:color w:val="000000"/>
                <w:kern w:val="0"/>
                <w:sz w:val="24"/>
                <w:szCs w:val="24"/>
              </w:rPr>
              <w:t>120m2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）拓展运动区建设面积</w:t>
            </w:r>
            <w:r>
              <w:rPr>
                <w:rFonts w:ascii="宋体" w:eastAsia="宋体" w:hAnsi="宋体" w:cs="宋体" w:hint="eastAsia"/>
                <w:color w:val="000000"/>
                <w:kern w:val="0"/>
                <w:sz w:val="24"/>
                <w:szCs w:val="24"/>
              </w:rPr>
              <w:t>370m2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8</w:t>
            </w:r>
            <w:r>
              <w:rPr>
                <w:rFonts w:ascii="宋体" w:eastAsia="宋体" w:hAnsi="宋体" w:cs="宋体" w:hint="eastAsia"/>
                <w:color w:val="000000"/>
                <w:kern w:val="0"/>
                <w:sz w:val="24"/>
                <w:szCs w:val="24"/>
              </w:rPr>
              <w:t>）室外器械健身区建设面积</w:t>
            </w:r>
            <w:r>
              <w:rPr>
                <w:rFonts w:ascii="宋体" w:eastAsia="宋体" w:hAnsi="宋体" w:cs="宋体" w:hint="eastAsia"/>
                <w:color w:val="000000"/>
                <w:kern w:val="0"/>
                <w:sz w:val="24"/>
                <w:szCs w:val="24"/>
              </w:rPr>
              <w:t>220m2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9</w:t>
            </w:r>
            <w:r>
              <w:rPr>
                <w:rFonts w:ascii="宋体" w:eastAsia="宋体" w:hAnsi="宋体" w:cs="宋体" w:hint="eastAsia"/>
                <w:color w:val="000000"/>
                <w:kern w:val="0"/>
                <w:sz w:val="24"/>
                <w:szCs w:val="24"/>
              </w:rPr>
              <w:t>）绿化工程面积</w:t>
            </w:r>
            <w:r>
              <w:rPr>
                <w:rFonts w:ascii="宋体" w:eastAsia="宋体" w:hAnsi="宋体" w:cs="宋体" w:hint="eastAsia"/>
                <w:color w:val="000000"/>
                <w:kern w:val="0"/>
                <w:sz w:val="24"/>
                <w:szCs w:val="24"/>
              </w:rPr>
              <w:t>2177m2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10</w:t>
            </w:r>
            <w:r>
              <w:rPr>
                <w:rFonts w:ascii="宋体" w:eastAsia="宋体" w:hAnsi="宋体" w:cs="宋体" w:hint="eastAsia"/>
                <w:color w:val="000000"/>
                <w:kern w:val="0"/>
                <w:sz w:val="24"/>
                <w:szCs w:val="24"/>
              </w:rPr>
              <w:t>）停车场建设面积</w:t>
            </w:r>
            <w:r>
              <w:rPr>
                <w:rFonts w:ascii="宋体" w:eastAsia="宋体" w:hAnsi="宋体" w:cs="宋体" w:hint="eastAsia"/>
                <w:color w:val="000000"/>
                <w:kern w:val="0"/>
                <w:sz w:val="24"/>
                <w:szCs w:val="24"/>
              </w:rPr>
              <w:t>590m2</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11</w:t>
            </w:r>
            <w:r>
              <w:rPr>
                <w:rFonts w:ascii="宋体" w:eastAsia="宋体" w:hAnsi="宋体" w:cs="宋体" w:hint="eastAsia"/>
                <w:color w:val="000000"/>
                <w:kern w:val="0"/>
                <w:sz w:val="24"/>
                <w:szCs w:val="24"/>
              </w:rPr>
              <w:t>）供电工程</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秋芦镇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南坛温泉度假村乡韵文化康养中心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计划总投资</w:t>
            </w:r>
            <w:r>
              <w:rPr>
                <w:rFonts w:ascii="宋体" w:eastAsia="宋体" w:hAnsi="宋体" w:cs="宋体" w:hint="eastAsia"/>
                <w:color w:val="000000"/>
                <w:kern w:val="0"/>
                <w:sz w:val="24"/>
                <w:szCs w:val="24"/>
              </w:rPr>
              <w:t>2.5</w:t>
            </w:r>
            <w:r>
              <w:rPr>
                <w:rFonts w:ascii="宋体" w:eastAsia="宋体" w:hAnsi="宋体" w:cs="宋体" w:hint="eastAsia"/>
                <w:color w:val="000000"/>
                <w:kern w:val="0"/>
                <w:sz w:val="24"/>
                <w:szCs w:val="24"/>
              </w:rPr>
              <w:t>亿元，主要建设露天园林泡池、大型温泉泳池温泉</w:t>
            </w:r>
            <w:r>
              <w:rPr>
                <w:rFonts w:ascii="宋体" w:eastAsia="宋体" w:hAnsi="宋体" w:cs="宋体" w:hint="eastAsia"/>
                <w:color w:val="000000"/>
                <w:kern w:val="0"/>
                <w:sz w:val="24"/>
                <w:szCs w:val="24"/>
              </w:rPr>
              <w:t>SPA</w:t>
            </w:r>
            <w:r>
              <w:rPr>
                <w:rFonts w:ascii="宋体" w:eastAsia="宋体" w:hAnsi="宋体" w:cs="宋体" w:hint="eastAsia"/>
                <w:color w:val="000000"/>
                <w:kern w:val="0"/>
                <w:sz w:val="24"/>
                <w:szCs w:val="24"/>
              </w:rPr>
              <w:t>中心、文化艺术品交流中心、温泉农庄餐厅、天然垂钓场等，建成为集温泉养生，休闲度假，商务接待，会务礼仪，娱乐健身为一体的生态文化型养生温泉度假景区。年可接待游客</w:t>
            </w:r>
            <w:r>
              <w:rPr>
                <w:rFonts w:ascii="宋体" w:eastAsia="宋体" w:hAnsi="宋体" w:cs="宋体" w:hint="eastAsia"/>
                <w:color w:val="000000"/>
                <w:kern w:val="0"/>
                <w:sz w:val="24"/>
                <w:szCs w:val="24"/>
              </w:rPr>
              <w:t>6</w:t>
            </w:r>
            <w:r>
              <w:rPr>
                <w:rFonts w:ascii="宋体" w:eastAsia="宋体" w:hAnsi="宋体" w:cs="宋体" w:hint="eastAsia"/>
                <w:color w:val="000000"/>
                <w:kern w:val="0"/>
                <w:sz w:val="24"/>
                <w:szCs w:val="24"/>
              </w:rPr>
              <w:t>万人次，年产值</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亿元。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南坛温泉度假村</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囊山景区全民健身绿道项目</w:t>
            </w:r>
            <w:r>
              <w:rPr>
                <w:rFonts w:ascii="宋体" w:eastAsia="宋体" w:hAnsi="宋体" w:cs="宋体"/>
                <w:color w:val="000000"/>
                <w:kern w:val="0"/>
                <w:sz w:val="24"/>
                <w:szCs w:val="24"/>
              </w:rPr>
              <w:t>(</w:t>
            </w:r>
            <w:r>
              <w:rPr>
                <w:rFonts w:ascii="宋体" w:eastAsia="宋体" w:hAnsi="宋体" w:cs="宋体"/>
                <w:color w:val="000000"/>
                <w:kern w:val="0"/>
                <w:sz w:val="24"/>
                <w:szCs w:val="24"/>
              </w:rPr>
              <w:t>囊山旅游步道二期）</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囊山景区全民健身绿道项目（五山绿道囊山段绿道）。绿道东起囊山寺森林公园入口广场沿囊山寺后山水渠西至梧塘天后宫，总长约</w:t>
            </w:r>
            <w:r>
              <w:rPr>
                <w:rFonts w:ascii="宋体" w:eastAsia="宋体" w:hAnsi="宋体" w:cs="宋体"/>
                <w:color w:val="000000"/>
                <w:kern w:val="0"/>
                <w:sz w:val="24"/>
                <w:szCs w:val="24"/>
              </w:rPr>
              <w:t>7.5</w:t>
            </w:r>
            <w:r>
              <w:rPr>
                <w:rFonts w:ascii="宋体" w:eastAsia="宋体" w:hAnsi="宋体" w:cs="宋体"/>
                <w:color w:val="000000"/>
                <w:kern w:val="0"/>
                <w:sz w:val="24"/>
                <w:szCs w:val="24"/>
              </w:rPr>
              <w:t>公里，设计宽度平均</w:t>
            </w:r>
            <w:r>
              <w:rPr>
                <w:rFonts w:ascii="宋体" w:eastAsia="宋体" w:hAnsi="宋体" w:cs="宋体"/>
                <w:color w:val="000000"/>
                <w:kern w:val="0"/>
                <w:sz w:val="24"/>
                <w:szCs w:val="24"/>
              </w:rPr>
              <w:t>4.5</w:t>
            </w:r>
            <w:r>
              <w:rPr>
                <w:rFonts w:ascii="宋体" w:eastAsia="宋体" w:hAnsi="宋体" w:cs="宋体"/>
                <w:color w:val="000000"/>
                <w:kern w:val="0"/>
                <w:sz w:val="24"/>
                <w:szCs w:val="24"/>
              </w:rPr>
              <w:t>米。设计上以驿路文化为脉络串联全程，结合当地古民居建筑特色、民俗文化，侨乡文化、陂渠文化等人文风情，打造富有地方特色的人文景观绿道</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涵江区文化体育和旅游局、梧塘镇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莆田学院附属医院湄洲岛分院（区级医院）提升改造工程</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主要建设：肠道及发热门诊大楼、疾控中心综合楼、中医综合楼（包括建设海峡两岸康养中心）、后勤保障综合楼，综合楼门诊大楼、住院大楼提升改造。</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11000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2020-2024</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15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湄洲岛全民健身活动中心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主要建设内容包括：社会五人制足球场、篮球场、门球场、网球场等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2021-2026</w:t>
            </w:r>
          </w:p>
        </w:tc>
        <w:tc>
          <w:tcPr>
            <w:tcW w:w="1331" w:type="dxa"/>
            <w:gridSpan w:val="2"/>
            <w:vAlign w:val="center"/>
          </w:tcPr>
          <w:p w:rsidR="000816CE" w:rsidRDefault="000816CE">
            <w:pPr>
              <w:widowControl/>
              <w:spacing w:line="240" w:lineRule="auto"/>
              <w:ind w:firstLineChars="0" w:firstLine="0"/>
              <w:jc w:val="center"/>
              <w:textAlignment w:val="center"/>
              <w:rPr>
                <w:rFonts w:ascii="宋体" w:eastAsia="宋体" w:hAnsi="宋体" w:cs="宋体"/>
                <w:color w:val="000000"/>
                <w:kern w:val="0"/>
                <w:sz w:val="24"/>
                <w:szCs w:val="24"/>
              </w:rPr>
            </w:pP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博普医药项目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占地约</w:t>
            </w:r>
            <w:r>
              <w:rPr>
                <w:rFonts w:ascii="宋体" w:eastAsia="宋体" w:hAnsi="宋体" w:cs="宋体" w:hint="eastAsia"/>
                <w:color w:val="000000"/>
                <w:kern w:val="0"/>
                <w:sz w:val="24"/>
                <w:szCs w:val="24"/>
              </w:rPr>
              <w:t>30</w:t>
            </w:r>
            <w:r>
              <w:rPr>
                <w:rFonts w:ascii="宋体" w:eastAsia="宋体" w:hAnsi="宋体" w:cs="宋体" w:hint="eastAsia"/>
                <w:color w:val="000000"/>
                <w:kern w:val="0"/>
                <w:sz w:val="24"/>
                <w:szCs w:val="24"/>
              </w:rPr>
              <w:t>亩，计划建筑面积约</w:t>
            </w:r>
            <w:r>
              <w:rPr>
                <w:rFonts w:ascii="宋体" w:eastAsia="宋体" w:hAnsi="宋体" w:cs="宋体" w:hint="eastAsia"/>
                <w:color w:val="000000"/>
                <w:kern w:val="0"/>
                <w:sz w:val="24"/>
                <w:szCs w:val="24"/>
              </w:rPr>
              <w:t>40000</w:t>
            </w:r>
            <w:r>
              <w:rPr>
                <w:rFonts w:ascii="宋体" w:eastAsia="宋体" w:hAnsi="宋体" w:cs="宋体" w:hint="eastAsia"/>
                <w:color w:val="000000"/>
                <w:kern w:val="0"/>
                <w:sz w:val="24"/>
                <w:szCs w:val="24"/>
              </w:rPr>
              <w:t>㎡，项目建成后预计公司存量年货运量</w:t>
            </w:r>
            <w:r>
              <w:rPr>
                <w:rFonts w:ascii="宋体" w:eastAsia="宋体" w:hAnsi="宋体" w:cs="宋体" w:hint="eastAsia"/>
                <w:color w:val="000000"/>
                <w:kern w:val="0"/>
                <w:sz w:val="24"/>
                <w:szCs w:val="24"/>
              </w:rPr>
              <w:t>90</w:t>
            </w:r>
            <w:r>
              <w:rPr>
                <w:rFonts w:ascii="宋体" w:eastAsia="宋体" w:hAnsi="宋体" w:cs="宋体" w:hint="eastAsia"/>
                <w:color w:val="000000"/>
                <w:kern w:val="0"/>
                <w:sz w:val="24"/>
                <w:szCs w:val="24"/>
              </w:rPr>
              <w:t>万件次，新增营业收入约</w:t>
            </w:r>
            <w:r>
              <w:rPr>
                <w:rFonts w:ascii="宋体" w:eastAsia="宋体" w:hAnsi="宋体" w:cs="宋体" w:hint="eastAsia"/>
                <w:color w:val="000000"/>
                <w:kern w:val="0"/>
                <w:sz w:val="24"/>
                <w:szCs w:val="24"/>
              </w:rPr>
              <w:t>6</w:t>
            </w:r>
            <w:r>
              <w:rPr>
                <w:rFonts w:ascii="宋体" w:eastAsia="宋体" w:hAnsi="宋体" w:cs="宋体" w:hint="eastAsia"/>
                <w:color w:val="000000"/>
                <w:kern w:val="0"/>
                <w:sz w:val="24"/>
                <w:szCs w:val="24"/>
              </w:rPr>
              <w:t>亿元，新增税收约</w:t>
            </w:r>
            <w:r>
              <w:rPr>
                <w:rFonts w:ascii="宋体" w:eastAsia="宋体" w:hAnsi="宋体" w:cs="宋体" w:hint="eastAsia"/>
                <w:color w:val="000000"/>
                <w:kern w:val="0"/>
                <w:sz w:val="24"/>
                <w:szCs w:val="24"/>
              </w:rPr>
              <w:t>1100</w:t>
            </w:r>
            <w:r>
              <w:rPr>
                <w:rFonts w:ascii="宋体" w:eastAsia="宋体" w:hAnsi="宋体" w:cs="宋体" w:hint="eastAsia"/>
                <w:color w:val="000000"/>
                <w:kern w:val="0"/>
                <w:sz w:val="24"/>
                <w:szCs w:val="24"/>
              </w:rPr>
              <w:t>万元；计划引入第三方药品企业入驻</w:t>
            </w:r>
            <w:r>
              <w:rPr>
                <w:rFonts w:ascii="宋体" w:eastAsia="宋体" w:hAnsi="宋体" w:cs="宋体" w:hint="eastAsia"/>
                <w:color w:val="000000"/>
                <w:kern w:val="0"/>
                <w:sz w:val="24"/>
                <w:szCs w:val="24"/>
              </w:rPr>
              <w:t>200</w:t>
            </w:r>
            <w:r>
              <w:rPr>
                <w:rFonts w:ascii="宋体" w:eastAsia="宋体" w:hAnsi="宋体" w:cs="宋体" w:hint="eastAsia"/>
                <w:color w:val="000000"/>
                <w:kern w:val="0"/>
                <w:sz w:val="24"/>
                <w:szCs w:val="24"/>
              </w:rPr>
              <w:t>家，新增税收</w:t>
            </w:r>
            <w:r>
              <w:rPr>
                <w:rFonts w:ascii="宋体" w:eastAsia="宋体" w:hAnsi="宋体" w:cs="宋体" w:hint="eastAsia"/>
                <w:color w:val="000000"/>
                <w:kern w:val="0"/>
                <w:sz w:val="24"/>
                <w:szCs w:val="24"/>
              </w:rPr>
              <w:t>6000</w:t>
            </w:r>
            <w:r>
              <w:rPr>
                <w:rFonts w:ascii="宋体" w:eastAsia="宋体" w:hAnsi="宋体" w:cs="宋体" w:hint="eastAsia"/>
                <w:color w:val="000000"/>
                <w:kern w:val="0"/>
                <w:sz w:val="24"/>
                <w:szCs w:val="24"/>
              </w:rPr>
              <w:t>万</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福建博普医药贸易有限责任公司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17</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金钟温泉度假区</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规划建设用地面积</w:t>
            </w:r>
            <w:r>
              <w:rPr>
                <w:rFonts w:ascii="宋体" w:eastAsia="宋体" w:hAnsi="宋体" w:cs="宋体" w:hint="eastAsia"/>
                <w:color w:val="000000"/>
                <w:kern w:val="0"/>
                <w:sz w:val="24"/>
                <w:szCs w:val="24"/>
              </w:rPr>
              <w:t>35</w:t>
            </w:r>
            <w:r>
              <w:rPr>
                <w:rFonts w:ascii="宋体" w:eastAsia="宋体" w:hAnsi="宋体" w:cs="宋体" w:hint="eastAsia"/>
                <w:color w:val="000000"/>
                <w:kern w:val="0"/>
                <w:sz w:val="24"/>
                <w:szCs w:val="24"/>
              </w:rPr>
              <w:t>公顷，建设温泉休闲服务中心、滨水温泉泳池、露天温泉五彩浴池群、奇异洞穴养生区、温泉</w:t>
            </w:r>
            <w:r>
              <w:rPr>
                <w:rFonts w:ascii="宋体" w:eastAsia="宋体" w:hAnsi="宋体" w:cs="宋体" w:hint="eastAsia"/>
                <w:color w:val="000000"/>
                <w:kern w:val="0"/>
                <w:sz w:val="24"/>
                <w:szCs w:val="24"/>
              </w:rPr>
              <w:t>SPA</w:t>
            </w:r>
            <w:r>
              <w:rPr>
                <w:rFonts w:ascii="宋体" w:eastAsia="宋体" w:hAnsi="宋体" w:cs="宋体" w:hint="eastAsia"/>
                <w:color w:val="000000"/>
                <w:kern w:val="0"/>
                <w:sz w:val="24"/>
                <w:szCs w:val="24"/>
              </w:rPr>
              <w:t>会所、滨水景观长廊，以及配套建设景区大门、广场、停车场、游客服务中心、环卫、解说、无障碍系统等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2024-2030</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县招商办</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县文旅局</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县金钟管理局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18</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“互联网</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”医疗、养老问诊平台</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整合县总医院、妇幼保健院及对口合作省市医院，搭建互联网预约问诊平台，通过平台开放预约健康咨询、用药咨询、慢性病互联网复诊及线上检索检查结果、处方信息等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县卫健局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19</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天宇兰溪蓬莱项目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color w:val="000000"/>
                <w:kern w:val="0"/>
                <w:sz w:val="24"/>
                <w:szCs w:val="24"/>
              </w:rPr>
              <w:t>位于华亭镇西许村后坑自然村，由莆田市天宇林业开发有限公司负责规划、投</w:t>
            </w:r>
            <w:r>
              <w:rPr>
                <w:rFonts w:ascii="宋体" w:eastAsia="宋体" w:hAnsi="宋体" w:cs="宋体"/>
                <w:color w:val="000000"/>
                <w:kern w:val="0"/>
                <w:sz w:val="24"/>
                <w:szCs w:val="24"/>
              </w:rPr>
              <w:t xml:space="preserve"> </w:t>
            </w:r>
            <w:r>
              <w:rPr>
                <w:rFonts w:ascii="宋体" w:eastAsia="宋体" w:hAnsi="宋体" w:cs="宋体"/>
                <w:color w:val="000000"/>
                <w:kern w:val="0"/>
                <w:sz w:val="24"/>
                <w:szCs w:val="24"/>
              </w:rPr>
              <w:t>资、建设、运营。林下经济产业文创景区由一区五园构成：即中草药植物园、四季百花及果园、农耕牧歌休闲生态园、</w:t>
            </w:r>
            <w:r>
              <w:rPr>
                <w:rFonts w:ascii="宋体" w:eastAsia="宋体" w:hAnsi="宋体" w:cs="宋体"/>
                <w:color w:val="000000"/>
                <w:kern w:val="0"/>
                <w:sz w:val="24"/>
                <w:szCs w:val="24"/>
              </w:rPr>
              <w:t xml:space="preserve"> </w:t>
            </w:r>
            <w:r>
              <w:rPr>
                <w:rFonts w:ascii="宋体" w:eastAsia="宋体" w:hAnsi="宋体" w:cs="宋体"/>
                <w:color w:val="000000"/>
                <w:kern w:val="0"/>
                <w:sz w:val="24"/>
                <w:szCs w:val="24"/>
              </w:rPr>
              <w:t>莆田美食特色园、森林康养服务园和林下经济文创景区配套服务区组成。本项目总占地积近三千亩，分三期实施，五年内基本完成林下经济文创景区建设。</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莆田市天宇林业开发有限公司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20</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白塘湖智慧体育公园</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条健身步道、</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个篮球场、</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个羽毛球场、集成体质测试系统、智能健身驿站、</w:t>
            </w:r>
            <w:r>
              <w:rPr>
                <w:rFonts w:ascii="宋体" w:eastAsia="宋体" w:hAnsi="宋体" w:cs="宋体" w:hint="eastAsia"/>
                <w:color w:val="000000"/>
                <w:kern w:val="0"/>
                <w:sz w:val="24"/>
                <w:szCs w:val="24"/>
              </w:rPr>
              <w:t>20</w:t>
            </w:r>
            <w:r>
              <w:rPr>
                <w:rFonts w:ascii="宋体" w:eastAsia="宋体" w:hAnsi="宋体" w:cs="宋体" w:hint="eastAsia"/>
                <w:color w:val="000000"/>
                <w:kern w:val="0"/>
                <w:sz w:val="24"/>
                <w:szCs w:val="24"/>
              </w:rPr>
              <w:t>件以上二代（智能）健身路径等体育健身设施。</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白塘湖风景区管理处</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90"/>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21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仙游温泉康养小镇项目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结合菜溪乡“心动小镇”建设规划，在菜溪高速出口至菜溪岩风景区约</w:t>
            </w:r>
            <w:r>
              <w:rPr>
                <w:rFonts w:ascii="宋体" w:eastAsia="宋体" w:hAnsi="宋体" w:cs="宋体" w:hint="eastAsia"/>
                <w:color w:val="000000"/>
                <w:kern w:val="0"/>
                <w:sz w:val="24"/>
                <w:szCs w:val="24"/>
              </w:rPr>
              <w:t>3000</w:t>
            </w:r>
            <w:r>
              <w:rPr>
                <w:rFonts w:ascii="宋体" w:eastAsia="宋体" w:hAnsi="宋体" w:cs="宋体" w:hint="eastAsia"/>
                <w:color w:val="000000"/>
                <w:kern w:val="0"/>
                <w:sz w:val="24"/>
                <w:szCs w:val="24"/>
              </w:rPr>
              <w:t>亩区域内，建设以“旅游</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”为主题，涵盖健康养生、观光农业、温泉酒店、旅游地产、休闲度假及功能配套设施等于一体的文旅特色小镇。</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r>
              <w:rPr>
                <w:rStyle w:val="font01"/>
                <w:rFonts w:hint="default"/>
                <w:sz w:val="24"/>
                <w:szCs w:val="24"/>
              </w:rPr>
              <w:t>023-2027</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新加坡瑞钢联集团</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r w:rsidR="000816CE">
        <w:trPr>
          <w:trHeight w:val="421"/>
          <w:jc w:val="center"/>
        </w:trPr>
        <w:tc>
          <w:tcPr>
            <w:tcW w:w="13100" w:type="dxa"/>
            <w:gridSpan w:val="9"/>
            <w:vAlign w:val="center"/>
          </w:tcPr>
          <w:p w:rsidR="000816CE" w:rsidRDefault="00FC7BEB">
            <w:pPr>
              <w:widowControl/>
              <w:spacing w:line="240" w:lineRule="auto"/>
              <w:ind w:firstLineChars="0" w:firstLine="0"/>
              <w:jc w:val="left"/>
              <w:textAlignment w:val="center"/>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房地产业</w:t>
            </w:r>
          </w:p>
        </w:tc>
        <w:tc>
          <w:tcPr>
            <w:tcW w:w="1047" w:type="dxa"/>
            <w:vAlign w:val="center"/>
          </w:tcPr>
          <w:p w:rsidR="000816CE" w:rsidRDefault="000816CE">
            <w:pPr>
              <w:widowControl/>
              <w:spacing w:line="240" w:lineRule="auto"/>
              <w:ind w:firstLineChars="0" w:firstLine="0"/>
              <w:jc w:val="center"/>
              <w:textAlignment w:val="center"/>
              <w:rPr>
                <w:rFonts w:ascii="宋体" w:eastAsia="宋体" w:hAnsi="宋体" w:cs="宋体"/>
                <w:b/>
                <w:bCs/>
                <w:color w:val="000000"/>
                <w:kern w:val="0"/>
                <w:sz w:val="24"/>
                <w:szCs w:val="24"/>
              </w:rPr>
            </w:pP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国恒医药产业园二期项目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项目位于滨海大道北侧，二期拟建设</w:t>
            </w:r>
            <w:r>
              <w:rPr>
                <w:rFonts w:ascii="宋体" w:eastAsia="宋体" w:hAnsi="宋体" w:cs="宋体" w:hint="eastAsia"/>
                <w:color w:val="000000"/>
                <w:kern w:val="0"/>
                <w:sz w:val="24"/>
                <w:szCs w:val="24"/>
              </w:rPr>
              <w:t>3</w:t>
            </w:r>
            <w:r>
              <w:rPr>
                <w:rFonts w:ascii="宋体" w:eastAsia="宋体" w:hAnsi="宋体" w:cs="宋体" w:hint="eastAsia"/>
                <w:color w:val="000000"/>
                <w:kern w:val="0"/>
                <w:sz w:val="24"/>
                <w:szCs w:val="24"/>
              </w:rPr>
              <w:t>幢厂房及</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幢综合楼，总建筑面积约</w:t>
            </w:r>
            <w:r>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万平方米，总投资约</w:t>
            </w:r>
            <w:r>
              <w:rPr>
                <w:rFonts w:ascii="宋体" w:eastAsia="宋体" w:hAnsi="宋体" w:cs="宋体" w:hint="eastAsia"/>
                <w:color w:val="000000"/>
                <w:kern w:val="0"/>
                <w:sz w:val="24"/>
                <w:szCs w:val="24"/>
              </w:rPr>
              <w:t>6000</w:t>
            </w:r>
            <w:r>
              <w:rPr>
                <w:rFonts w:ascii="宋体" w:eastAsia="宋体" w:hAnsi="宋体" w:cs="宋体" w:hint="eastAsia"/>
                <w:color w:val="000000"/>
                <w:kern w:val="0"/>
                <w:sz w:val="24"/>
                <w:szCs w:val="24"/>
              </w:rPr>
              <w:t>万元。</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涵江国恒投资有限公司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湄洲岛全民健身活动中心</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主要建设内容包括：社会五人制足球场、篮球场、门球场、网球场等。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等线" w:eastAsia="等线" w:hAnsi="等线" w:cs="等线" w:hint="eastAsia"/>
                <w:color w:val="000000"/>
                <w:kern w:val="0"/>
                <w:sz w:val="24"/>
                <w:szCs w:val="24"/>
              </w:rPr>
              <w:t>6000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2021-2026</w:t>
            </w:r>
          </w:p>
        </w:tc>
        <w:tc>
          <w:tcPr>
            <w:tcW w:w="1331" w:type="dxa"/>
            <w:gridSpan w:val="2"/>
            <w:vAlign w:val="center"/>
          </w:tcPr>
          <w:p w:rsidR="000816CE" w:rsidRDefault="000816CE">
            <w:pPr>
              <w:spacing w:line="240" w:lineRule="auto"/>
              <w:ind w:firstLineChars="0" w:firstLine="0"/>
              <w:jc w:val="center"/>
              <w:rPr>
                <w:rFonts w:ascii="宋体" w:eastAsia="宋体" w:hAnsi="宋体" w:cs="宋体"/>
                <w:color w:val="000000"/>
                <w:kern w:val="0"/>
                <w:sz w:val="24"/>
                <w:szCs w:val="24"/>
              </w:rPr>
            </w:pPr>
          </w:p>
        </w:tc>
        <w:tc>
          <w:tcPr>
            <w:tcW w:w="1047" w:type="dxa"/>
            <w:vAlign w:val="center"/>
          </w:tcPr>
          <w:p w:rsidR="000816CE" w:rsidRDefault="00FC7BEB">
            <w:pPr>
              <w:spacing w:line="240" w:lineRule="auto"/>
              <w:ind w:firstLineChars="0" w:firstLine="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荔城大酒店配套工程公寓楼</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占地约</w:t>
            </w:r>
            <w:r>
              <w:rPr>
                <w:rFonts w:ascii="宋体" w:eastAsia="宋体" w:hAnsi="宋体" w:cs="宋体" w:hint="eastAsia"/>
                <w:color w:val="000000"/>
                <w:kern w:val="0"/>
                <w:sz w:val="24"/>
                <w:szCs w:val="24"/>
              </w:rPr>
              <w:t>15</w:t>
            </w:r>
            <w:r>
              <w:rPr>
                <w:rFonts w:ascii="宋体" w:eastAsia="宋体" w:hAnsi="宋体" w:cs="宋体" w:hint="eastAsia"/>
                <w:color w:val="000000"/>
                <w:kern w:val="0"/>
                <w:sz w:val="24"/>
                <w:szCs w:val="24"/>
              </w:rPr>
              <w:t>亩，总建筑面积约</w:t>
            </w:r>
            <w:r>
              <w:rPr>
                <w:rFonts w:ascii="宋体" w:eastAsia="宋体" w:hAnsi="宋体" w:cs="宋体" w:hint="eastAsia"/>
                <w:color w:val="000000"/>
                <w:kern w:val="0"/>
                <w:sz w:val="24"/>
                <w:szCs w:val="24"/>
              </w:rPr>
              <w:t>2.9</w:t>
            </w:r>
            <w:r>
              <w:rPr>
                <w:rFonts w:ascii="宋体" w:eastAsia="宋体" w:hAnsi="宋体" w:cs="宋体" w:hint="eastAsia"/>
                <w:color w:val="000000"/>
                <w:kern w:val="0"/>
                <w:sz w:val="24"/>
                <w:szCs w:val="24"/>
              </w:rPr>
              <w:t>万平方米，建一幢</w:t>
            </w:r>
            <w:r>
              <w:rPr>
                <w:rFonts w:ascii="宋体" w:eastAsia="宋体" w:hAnsi="宋体" w:cs="宋体" w:hint="eastAsia"/>
                <w:color w:val="000000"/>
                <w:kern w:val="0"/>
                <w:sz w:val="24"/>
                <w:szCs w:val="24"/>
              </w:rPr>
              <w:t>19</w:t>
            </w:r>
            <w:r>
              <w:rPr>
                <w:rFonts w:ascii="宋体" w:eastAsia="宋体" w:hAnsi="宋体" w:cs="宋体" w:hint="eastAsia"/>
                <w:color w:val="000000"/>
                <w:kern w:val="0"/>
                <w:sz w:val="24"/>
                <w:szCs w:val="24"/>
              </w:rPr>
              <w:t>层</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拱辰街道</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政校共建研学基地</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通过回购天乐休闲中心地块，同莆田学院合作共建研学基地，建设教学行政用房</w:t>
            </w:r>
            <w:r>
              <w:rPr>
                <w:rFonts w:ascii="宋体" w:eastAsia="宋体" w:hAnsi="宋体" w:cs="宋体" w:hint="eastAsia"/>
                <w:color w:val="000000"/>
                <w:kern w:val="0"/>
                <w:sz w:val="24"/>
                <w:szCs w:val="24"/>
              </w:rPr>
              <w:t>5600</w:t>
            </w:r>
            <w:r>
              <w:rPr>
                <w:rFonts w:ascii="宋体" w:eastAsia="宋体" w:hAnsi="宋体" w:cs="宋体" w:hint="eastAsia"/>
                <w:color w:val="000000"/>
                <w:kern w:val="0"/>
                <w:sz w:val="24"/>
                <w:szCs w:val="24"/>
              </w:rPr>
              <w:t>平方米、宿舍</w:t>
            </w:r>
            <w:r>
              <w:rPr>
                <w:rFonts w:ascii="宋体" w:eastAsia="宋体" w:hAnsi="宋体" w:cs="宋体" w:hint="eastAsia"/>
                <w:color w:val="000000"/>
                <w:kern w:val="0"/>
                <w:sz w:val="24"/>
                <w:szCs w:val="24"/>
              </w:rPr>
              <w:t>2600</w:t>
            </w:r>
            <w:r>
              <w:rPr>
                <w:rFonts w:ascii="宋体" w:eastAsia="宋体" w:hAnsi="宋体" w:cs="宋体" w:hint="eastAsia"/>
                <w:color w:val="000000"/>
                <w:kern w:val="0"/>
                <w:sz w:val="24"/>
                <w:szCs w:val="24"/>
              </w:rPr>
              <w:t>平方米。</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0816CE">
            <w:pPr>
              <w:spacing w:line="240" w:lineRule="auto"/>
              <w:ind w:firstLineChars="0" w:firstLine="0"/>
              <w:jc w:val="center"/>
              <w:rPr>
                <w:rFonts w:ascii="宋体" w:eastAsia="宋体" w:hAnsi="宋体" w:cs="宋体"/>
                <w:color w:val="000000"/>
                <w:kern w:val="0"/>
                <w:sz w:val="24"/>
                <w:szCs w:val="24"/>
              </w:rPr>
            </w:pPr>
          </w:p>
        </w:tc>
        <w:tc>
          <w:tcPr>
            <w:tcW w:w="1047" w:type="dxa"/>
            <w:vAlign w:val="center"/>
          </w:tcPr>
          <w:p w:rsidR="000816CE" w:rsidRDefault="00FC7BEB">
            <w:pPr>
              <w:spacing w:line="240" w:lineRule="auto"/>
              <w:ind w:firstLineChars="0" w:firstLine="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莆田市环境监测监查及应急指挥业务用房</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总用地面积</w:t>
            </w:r>
            <w:r>
              <w:rPr>
                <w:rFonts w:ascii="宋体" w:eastAsia="宋体" w:hAnsi="宋体" w:cs="宋体" w:hint="eastAsia"/>
                <w:color w:val="000000"/>
                <w:kern w:val="0"/>
                <w:sz w:val="24"/>
                <w:szCs w:val="24"/>
              </w:rPr>
              <w:t>12665</w:t>
            </w:r>
            <w:r>
              <w:rPr>
                <w:rFonts w:ascii="宋体" w:eastAsia="宋体" w:hAnsi="宋体" w:cs="宋体" w:hint="eastAsia"/>
                <w:color w:val="000000"/>
                <w:kern w:val="0"/>
                <w:sz w:val="24"/>
                <w:szCs w:val="24"/>
              </w:rPr>
              <w:t>平方米（约</w:t>
            </w:r>
            <w:r>
              <w:rPr>
                <w:rFonts w:ascii="宋体" w:eastAsia="宋体" w:hAnsi="宋体" w:cs="宋体" w:hint="eastAsia"/>
                <w:color w:val="000000"/>
                <w:kern w:val="0"/>
                <w:sz w:val="24"/>
                <w:szCs w:val="24"/>
              </w:rPr>
              <w:t>19</w:t>
            </w:r>
            <w:r>
              <w:rPr>
                <w:rFonts w:ascii="宋体" w:eastAsia="宋体" w:hAnsi="宋体" w:cs="宋体" w:hint="eastAsia"/>
                <w:color w:val="000000"/>
                <w:kern w:val="0"/>
                <w:sz w:val="24"/>
                <w:szCs w:val="24"/>
              </w:rPr>
              <w:t>亩），建</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幢，</w:t>
            </w:r>
            <w:r>
              <w:rPr>
                <w:rFonts w:ascii="宋体" w:eastAsia="宋体" w:hAnsi="宋体" w:cs="宋体" w:hint="eastAsia"/>
                <w:color w:val="000000"/>
                <w:kern w:val="0"/>
                <w:sz w:val="24"/>
                <w:szCs w:val="24"/>
              </w:rPr>
              <w:t>25</w:t>
            </w:r>
            <w:r>
              <w:rPr>
                <w:rFonts w:ascii="宋体" w:eastAsia="宋体" w:hAnsi="宋体" w:cs="宋体" w:hint="eastAsia"/>
                <w:color w:val="000000"/>
                <w:kern w:val="0"/>
                <w:sz w:val="24"/>
                <w:szCs w:val="24"/>
              </w:rPr>
              <w:t>层，总建筑面积</w:t>
            </w:r>
            <w:r>
              <w:rPr>
                <w:rFonts w:ascii="宋体" w:eastAsia="宋体" w:hAnsi="宋体" w:cs="宋体" w:hint="eastAsia"/>
                <w:color w:val="000000"/>
                <w:kern w:val="0"/>
                <w:sz w:val="24"/>
                <w:szCs w:val="24"/>
              </w:rPr>
              <w:t>73198</w:t>
            </w:r>
            <w:r>
              <w:rPr>
                <w:rFonts w:ascii="宋体" w:eastAsia="宋体" w:hAnsi="宋体" w:cs="宋体" w:hint="eastAsia"/>
                <w:color w:val="000000"/>
                <w:kern w:val="0"/>
                <w:sz w:val="24"/>
                <w:szCs w:val="24"/>
              </w:rPr>
              <w:t>平方米。</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市环保局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6</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东峤工业服务综合体</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规划净用地面积</w:t>
            </w:r>
            <w:r>
              <w:rPr>
                <w:rFonts w:ascii="宋体" w:eastAsia="宋体" w:hAnsi="宋体" w:cs="宋体" w:hint="eastAsia"/>
                <w:color w:val="000000"/>
                <w:kern w:val="0"/>
                <w:sz w:val="24"/>
                <w:szCs w:val="24"/>
              </w:rPr>
              <w:t>482.59</w:t>
            </w:r>
            <w:r>
              <w:rPr>
                <w:rFonts w:ascii="宋体" w:eastAsia="宋体" w:hAnsi="宋体" w:cs="宋体" w:hint="eastAsia"/>
                <w:color w:val="000000"/>
                <w:kern w:val="0"/>
                <w:sz w:val="24"/>
                <w:szCs w:val="24"/>
              </w:rPr>
              <w:t>亩，长</w:t>
            </w:r>
            <w:r>
              <w:rPr>
                <w:rFonts w:ascii="宋体" w:eastAsia="宋体" w:hAnsi="宋体" w:cs="宋体" w:hint="eastAsia"/>
                <w:color w:val="000000"/>
                <w:kern w:val="0"/>
                <w:sz w:val="24"/>
                <w:szCs w:val="24"/>
              </w:rPr>
              <w:t>2.2</w:t>
            </w:r>
            <w:r>
              <w:rPr>
                <w:rFonts w:ascii="宋体" w:eastAsia="宋体" w:hAnsi="宋体" w:cs="宋体" w:hint="eastAsia"/>
                <w:color w:val="000000"/>
                <w:kern w:val="0"/>
                <w:sz w:val="24"/>
                <w:szCs w:val="24"/>
              </w:rPr>
              <w:t>公里，建筑面积</w:t>
            </w:r>
            <w:r>
              <w:rPr>
                <w:rFonts w:ascii="宋体" w:eastAsia="宋体" w:hAnsi="宋体" w:cs="宋体" w:hint="eastAsia"/>
                <w:color w:val="000000"/>
                <w:kern w:val="0"/>
                <w:sz w:val="24"/>
                <w:szCs w:val="24"/>
              </w:rPr>
              <w:t>200000</w:t>
            </w:r>
            <w:r>
              <w:rPr>
                <w:rFonts w:ascii="宋体" w:eastAsia="宋体" w:hAnsi="宋体" w:cs="宋体" w:hint="eastAsia"/>
                <w:color w:val="000000"/>
                <w:kern w:val="0"/>
                <w:sz w:val="24"/>
                <w:szCs w:val="24"/>
              </w:rPr>
              <w:t>㎡，规划主要为公共设施配套和商住项目的开发，公共设施包括社区服务中心、文化活动中心、养老院、卫生院、幼儿园等，商住项目包括商品住房、商住楼、综合商超等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2020-2025</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东峤镇</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lastRenderedPageBreak/>
              <w:t>7</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正荣·财富中心喜来登酒店办公楼项目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占地约</w:t>
            </w:r>
            <w:r>
              <w:rPr>
                <w:rFonts w:ascii="宋体" w:eastAsia="宋体" w:hAnsi="宋体" w:cs="宋体" w:hint="eastAsia"/>
                <w:color w:val="000000"/>
                <w:kern w:val="0"/>
                <w:sz w:val="24"/>
                <w:szCs w:val="24"/>
              </w:rPr>
              <w:t>24</w:t>
            </w:r>
            <w:r>
              <w:rPr>
                <w:rFonts w:ascii="宋体" w:eastAsia="宋体" w:hAnsi="宋体" w:cs="宋体" w:hint="eastAsia"/>
                <w:color w:val="000000"/>
                <w:kern w:val="0"/>
                <w:sz w:val="24"/>
                <w:szCs w:val="24"/>
              </w:rPr>
              <w:t>亩，建设</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40</w:t>
            </w:r>
            <w:r>
              <w:rPr>
                <w:rFonts w:ascii="宋体" w:eastAsia="宋体" w:hAnsi="宋体" w:cs="宋体" w:hint="eastAsia"/>
                <w:color w:val="000000"/>
                <w:kern w:val="0"/>
                <w:sz w:val="24"/>
                <w:szCs w:val="24"/>
              </w:rPr>
              <w:t>层酒店及</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35</w:t>
            </w:r>
            <w:r>
              <w:rPr>
                <w:rFonts w:ascii="宋体" w:eastAsia="宋体" w:hAnsi="宋体" w:cs="宋体" w:hint="eastAsia"/>
                <w:color w:val="000000"/>
                <w:kern w:val="0"/>
                <w:sz w:val="24"/>
                <w:szCs w:val="24"/>
              </w:rPr>
              <w:t>层办公楼，总建筑面积约</w:t>
            </w:r>
            <w:r>
              <w:rPr>
                <w:rFonts w:ascii="宋体" w:eastAsia="宋体" w:hAnsi="宋体" w:cs="宋体" w:hint="eastAsia"/>
                <w:color w:val="000000"/>
                <w:kern w:val="0"/>
                <w:sz w:val="24"/>
                <w:szCs w:val="24"/>
              </w:rPr>
              <w:t>12</w:t>
            </w:r>
            <w:r>
              <w:rPr>
                <w:rFonts w:ascii="宋体" w:eastAsia="宋体" w:hAnsi="宋体" w:cs="宋体" w:hint="eastAsia"/>
                <w:color w:val="000000"/>
                <w:kern w:val="0"/>
                <w:sz w:val="24"/>
                <w:szCs w:val="24"/>
              </w:rPr>
              <w:t>万平方米。</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2018-2021</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正荣财富（福建）置业有限公司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8</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莆田北高埕头珠宝城投资有限公司厂房及配套设施</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建设</w:t>
            </w:r>
            <w:r>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13</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8</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12</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8</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10</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2</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层厂房、</w:t>
            </w:r>
            <w:r>
              <w:rPr>
                <w:rFonts w:ascii="宋体" w:eastAsia="宋体" w:hAnsi="宋体" w:cs="宋体" w:hint="eastAsia"/>
                <w:color w:val="000000"/>
                <w:kern w:val="0"/>
                <w:sz w:val="24"/>
                <w:szCs w:val="24"/>
              </w:rPr>
              <w:t>1</w:t>
            </w:r>
            <w:r>
              <w:rPr>
                <w:rFonts w:ascii="宋体" w:eastAsia="宋体" w:hAnsi="宋体" w:cs="宋体" w:hint="eastAsia"/>
                <w:color w:val="000000"/>
                <w:kern w:val="0"/>
                <w:sz w:val="24"/>
                <w:szCs w:val="24"/>
              </w:rPr>
              <w:t>栋</w:t>
            </w:r>
            <w:r>
              <w:rPr>
                <w:rFonts w:ascii="宋体" w:eastAsia="宋体" w:hAnsi="宋体" w:cs="宋体" w:hint="eastAsia"/>
                <w:color w:val="000000"/>
                <w:kern w:val="0"/>
                <w:sz w:val="24"/>
                <w:szCs w:val="24"/>
              </w:rPr>
              <w:t>26</w:t>
            </w:r>
            <w:r>
              <w:rPr>
                <w:rFonts w:ascii="宋体" w:eastAsia="宋体" w:hAnsi="宋体" w:cs="宋体" w:hint="eastAsia"/>
                <w:color w:val="000000"/>
                <w:kern w:val="0"/>
                <w:sz w:val="24"/>
                <w:szCs w:val="24"/>
              </w:rPr>
              <w:t>层综合楼及配套设施，年研发加工及生产珠宝、玉器等工艺制品约</w:t>
            </w:r>
            <w:r>
              <w:rPr>
                <w:rFonts w:ascii="宋体" w:eastAsia="宋体" w:hAnsi="宋体" w:cs="宋体" w:hint="eastAsia"/>
                <w:color w:val="000000"/>
                <w:kern w:val="0"/>
                <w:sz w:val="24"/>
                <w:szCs w:val="24"/>
              </w:rPr>
              <w:t>600</w:t>
            </w:r>
            <w:r>
              <w:rPr>
                <w:rFonts w:ascii="宋体" w:eastAsia="宋体" w:hAnsi="宋体" w:cs="宋体" w:hint="eastAsia"/>
                <w:color w:val="000000"/>
                <w:kern w:val="0"/>
                <w:sz w:val="24"/>
                <w:szCs w:val="24"/>
              </w:rPr>
              <w:t>万件。</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2015-2021</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莆田北高埕头珠宝城投资有限公司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9</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集中居住区建设改造工程项目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湄洲岛</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①在高朱、东蔡、寨下集镇区等村建规划区范围内，规划建设集镇区、示范小区。②购置或建设岛外（妈祖城或莆田城区）安置区。</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2019-2025</w:t>
            </w:r>
          </w:p>
        </w:tc>
        <w:tc>
          <w:tcPr>
            <w:tcW w:w="1331" w:type="dxa"/>
            <w:gridSpan w:val="2"/>
            <w:vAlign w:val="center"/>
          </w:tcPr>
          <w:p w:rsidR="000816CE" w:rsidRDefault="000816CE">
            <w:pPr>
              <w:spacing w:line="240" w:lineRule="auto"/>
              <w:ind w:firstLineChars="0" w:firstLine="0"/>
              <w:jc w:val="center"/>
              <w:rPr>
                <w:rFonts w:ascii="宋体" w:eastAsia="宋体" w:hAnsi="宋体" w:cs="宋体"/>
                <w:color w:val="000000"/>
                <w:kern w:val="0"/>
                <w:sz w:val="24"/>
                <w:szCs w:val="24"/>
              </w:rPr>
            </w:pPr>
          </w:p>
        </w:tc>
        <w:tc>
          <w:tcPr>
            <w:tcW w:w="1047" w:type="dxa"/>
            <w:vAlign w:val="center"/>
          </w:tcPr>
          <w:p w:rsidR="000816CE" w:rsidRDefault="00FC7BEB">
            <w:pPr>
              <w:spacing w:line="240" w:lineRule="auto"/>
              <w:ind w:firstLineChars="0" w:firstLine="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10</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秀屿区创新综合体项目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秀屿区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总占地面积</w:t>
            </w:r>
            <w:r>
              <w:rPr>
                <w:rFonts w:ascii="宋体" w:eastAsia="宋体" w:hAnsi="宋体" w:cs="宋体" w:hint="eastAsia"/>
                <w:color w:val="000000"/>
                <w:kern w:val="0"/>
                <w:sz w:val="24"/>
                <w:szCs w:val="24"/>
              </w:rPr>
              <w:t>105818.36</w:t>
            </w:r>
            <w:r>
              <w:rPr>
                <w:rFonts w:ascii="宋体" w:eastAsia="宋体" w:hAnsi="宋体" w:cs="宋体" w:hint="eastAsia"/>
                <w:color w:val="000000"/>
                <w:kern w:val="0"/>
                <w:sz w:val="24"/>
                <w:szCs w:val="24"/>
              </w:rPr>
              <w:t>平方米、建筑面积</w:t>
            </w:r>
            <w:r>
              <w:rPr>
                <w:rFonts w:ascii="宋体" w:eastAsia="宋体" w:hAnsi="宋体" w:cs="宋体" w:hint="eastAsia"/>
                <w:color w:val="000000"/>
                <w:kern w:val="0"/>
                <w:sz w:val="24"/>
                <w:szCs w:val="24"/>
              </w:rPr>
              <w:t>253257</w:t>
            </w:r>
            <w:r>
              <w:rPr>
                <w:rFonts w:ascii="宋体" w:eastAsia="宋体" w:hAnsi="宋体" w:cs="宋体" w:hint="eastAsia"/>
                <w:color w:val="000000"/>
                <w:kern w:val="0"/>
                <w:sz w:val="24"/>
                <w:szCs w:val="24"/>
              </w:rPr>
              <w:t>平方米，主要建设商业、商务办公及配套设施等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东峤工业园</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11</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玉田片区城市综合体</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拟选址鲤南玉田片区建设综合体，需用地约</w:t>
            </w:r>
            <w:r>
              <w:rPr>
                <w:rFonts w:ascii="宋体" w:eastAsia="宋体" w:hAnsi="宋体" w:cs="宋体" w:hint="eastAsia"/>
                <w:color w:val="000000"/>
                <w:kern w:val="0"/>
                <w:sz w:val="24"/>
                <w:szCs w:val="24"/>
              </w:rPr>
              <w:t>266</w:t>
            </w:r>
            <w:r>
              <w:rPr>
                <w:rFonts w:ascii="宋体" w:eastAsia="宋体" w:hAnsi="宋体" w:cs="宋体" w:hint="eastAsia"/>
                <w:color w:val="000000"/>
                <w:kern w:val="0"/>
                <w:sz w:val="24"/>
                <w:szCs w:val="24"/>
              </w:rPr>
              <w:t>亩</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420000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仙游县自然资源局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12</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磐龙府二期（商业）</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用地面积约</w:t>
            </w:r>
            <w:r>
              <w:rPr>
                <w:rFonts w:ascii="宋体" w:eastAsia="宋体" w:hAnsi="宋体" w:cs="宋体" w:hint="eastAsia"/>
                <w:color w:val="000000"/>
                <w:kern w:val="0"/>
                <w:sz w:val="24"/>
                <w:szCs w:val="24"/>
              </w:rPr>
              <w:t>10</w:t>
            </w:r>
            <w:r>
              <w:rPr>
                <w:rFonts w:ascii="宋体" w:eastAsia="宋体" w:hAnsi="宋体" w:cs="宋体" w:hint="eastAsia"/>
                <w:color w:val="000000"/>
                <w:kern w:val="0"/>
                <w:sz w:val="24"/>
                <w:szCs w:val="24"/>
              </w:rPr>
              <w:t>万平方米，建设商业综合配套等</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2020-2022</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莆田兆玺置业有限公司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13</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正鼎酒店</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荔城区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规划用地面积</w:t>
            </w:r>
            <w:r>
              <w:rPr>
                <w:rFonts w:ascii="宋体" w:eastAsia="宋体" w:hAnsi="宋体" w:cs="宋体" w:hint="eastAsia"/>
                <w:color w:val="000000"/>
                <w:kern w:val="0"/>
                <w:sz w:val="24"/>
                <w:szCs w:val="24"/>
              </w:rPr>
              <w:t>13482.97</w:t>
            </w:r>
            <w:r>
              <w:rPr>
                <w:rFonts w:ascii="宋体" w:eastAsia="宋体" w:hAnsi="宋体" w:cs="宋体" w:hint="eastAsia"/>
                <w:color w:val="000000"/>
                <w:kern w:val="0"/>
                <w:sz w:val="24"/>
                <w:szCs w:val="24"/>
              </w:rPr>
              <w:t>㎡，建筑面积</w:t>
            </w:r>
            <w:r>
              <w:rPr>
                <w:rFonts w:ascii="宋体" w:eastAsia="宋体" w:hAnsi="宋体" w:cs="宋体" w:hint="eastAsia"/>
                <w:color w:val="000000"/>
                <w:kern w:val="0"/>
                <w:sz w:val="24"/>
                <w:szCs w:val="24"/>
              </w:rPr>
              <w:t>62111.44</w:t>
            </w:r>
            <w:r>
              <w:rPr>
                <w:rFonts w:ascii="宋体" w:eastAsia="宋体" w:hAnsi="宋体" w:cs="宋体" w:hint="eastAsia"/>
                <w:color w:val="000000"/>
                <w:kern w:val="0"/>
                <w:sz w:val="24"/>
                <w:szCs w:val="24"/>
              </w:rPr>
              <w:t>㎡，其中地下建筑面积</w:t>
            </w:r>
            <w:r>
              <w:rPr>
                <w:rFonts w:ascii="宋体" w:eastAsia="宋体" w:hAnsi="宋体" w:cs="宋体" w:hint="eastAsia"/>
                <w:color w:val="000000"/>
                <w:kern w:val="0"/>
                <w:sz w:val="24"/>
                <w:szCs w:val="24"/>
              </w:rPr>
              <w:t>10934</w:t>
            </w:r>
            <w:r>
              <w:rPr>
                <w:rFonts w:ascii="宋体" w:eastAsia="宋体" w:hAnsi="宋体" w:cs="宋体" w:hint="eastAsia"/>
                <w:color w:val="000000"/>
                <w:kern w:val="0"/>
                <w:sz w:val="24"/>
                <w:szCs w:val="24"/>
              </w:rPr>
              <w:t>㎡，地上建筑面积</w:t>
            </w:r>
            <w:r>
              <w:rPr>
                <w:rFonts w:ascii="宋体" w:eastAsia="宋体" w:hAnsi="宋体" w:cs="宋体" w:hint="eastAsia"/>
                <w:color w:val="000000"/>
                <w:kern w:val="0"/>
                <w:sz w:val="24"/>
                <w:szCs w:val="24"/>
              </w:rPr>
              <w:t>51177.44</w:t>
            </w:r>
            <w:r>
              <w:rPr>
                <w:rFonts w:ascii="宋体" w:eastAsia="宋体" w:hAnsi="宋体" w:cs="宋体" w:hint="eastAsia"/>
                <w:color w:val="000000"/>
                <w:kern w:val="0"/>
                <w:sz w:val="24"/>
                <w:szCs w:val="24"/>
              </w:rPr>
              <w:t>㎡</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正鼎房地产有限公司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14</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高端精品酒店建设项目</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涵江区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对标安缦酒店顶级标准，建设集餐饮、住宿、会务、温泉度假、休闲健身于一体的高端精品酒店，打造成为涵江新的地标</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66800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2021-2023</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荣晖国际集团有限公司</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在建</w:t>
            </w:r>
          </w:p>
        </w:tc>
      </w:tr>
      <w:tr w:rsidR="000816CE">
        <w:trPr>
          <w:jc w:val="center"/>
        </w:trPr>
        <w:tc>
          <w:tcPr>
            <w:tcW w:w="732" w:type="dxa"/>
            <w:vAlign w:val="center"/>
          </w:tcPr>
          <w:p w:rsidR="000816CE" w:rsidRDefault="00FC7BEB">
            <w:pPr>
              <w:spacing w:line="240" w:lineRule="auto"/>
              <w:ind w:firstLineChars="0" w:firstLine="0"/>
              <w:jc w:val="center"/>
              <w:rPr>
                <w:color w:val="000000" w:themeColor="text1"/>
                <w:sz w:val="24"/>
                <w:szCs w:val="24"/>
              </w:rPr>
            </w:pPr>
            <w:r>
              <w:rPr>
                <w:rFonts w:hint="eastAsia"/>
                <w:color w:val="000000" w:themeColor="text1"/>
                <w:sz w:val="24"/>
                <w:szCs w:val="24"/>
              </w:rPr>
              <w:t>15</w:t>
            </w:r>
          </w:p>
        </w:tc>
        <w:tc>
          <w:tcPr>
            <w:tcW w:w="1449"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霞办建筑业总部二期</w:t>
            </w:r>
          </w:p>
        </w:tc>
        <w:tc>
          <w:tcPr>
            <w:tcW w:w="1206"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w:t>
            </w:r>
          </w:p>
        </w:tc>
        <w:tc>
          <w:tcPr>
            <w:tcW w:w="5372"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拟将莆田西霞林地块</w:t>
            </w:r>
            <w:r>
              <w:rPr>
                <w:rFonts w:ascii="宋体" w:eastAsia="宋体" w:hAnsi="宋体" w:cs="宋体" w:hint="eastAsia"/>
                <w:color w:val="000000"/>
                <w:kern w:val="0"/>
                <w:sz w:val="24"/>
                <w:szCs w:val="24"/>
              </w:rPr>
              <w:t>A</w:t>
            </w:r>
            <w:r>
              <w:rPr>
                <w:rFonts w:ascii="宋体" w:eastAsia="宋体" w:hAnsi="宋体" w:cs="宋体" w:hint="eastAsia"/>
                <w:color w:val="000000"/>
                <w:kern w:val="0"/>
                <w:sz w:val="24"/>
                <w:szCs w:val="24"/>
              </w:rPr>
              <w:t>地块</w:t>
            </w:r>
            <w:r>
              <w:rPr>
                <w:rFonts w:ascii="宋体" w:eastAsia="宋体" w:hAnsi="宋体" w:cs="宋体" w:hint="eastAsia"/>
                <w:color w:val="000000"/>
                <w:kern w:val="0"/>
                <w:sz w:val="24"/>
                <w:szCs w:val="24"/>
              </w:rPr>
              <w:t>C</w:t>
            </w:r>
            <w:r>
              <w:rPr>
                <w:rFonts w:ascii="宋体" w:eastAsia="宋体" w:hAnsi="宋体" w:cs="宋体" w:hint="eastAsia"/>
                <w:color w:val="000000"/>
                <w:kern w:val="0"/>
                <w:sz w:val="24"/>
                <w:szCs w:val="24"/>
              </w:rPr>
              <w:t>幢规划装修为城厢区建筑业总部二期。</w:t>
            </w:r>
          </w:p>
        </w:tc>
        <w:tc>
          <w:tcPr>
            <w:tcW w:w="169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5000</w:t>
            </w:r>
          </w:p>
        </w:tc>
        <w:tc>
          <w:tcPr>
            <w:tcW w:w="1313"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2022-2024</w:t>
            </w:r>
          </w:p>
        </w:tc>
        <w:tc>
          <w:tcPr>
            <w:tcW w:w="1331" w:type="dxa"/>
            <w:gridSpan w:val="2"/>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城厢区住建局</w:t>
            </w:r>
          </w:p>
        </w:tc>
        <w:tc>
          <w:tcPr>
            <w:tcW w:w="1047" w:type="dxa"/>
            <w:vAlign w:val="center"/>
          </w:tcPr>
          <w:p w:rsidR="000816CE" w:rsidRDefault="00FC7BEB">
            <w:pPr>
              <w:widowControl/>
              <w:spacing w:line="240" w:lineRule="auto"/>
              <w:ind w:firstLineChars="0" w:firstLine="0"/>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拟建</w:t>
            </w:r>
          </w:p>
        </w:tc>
      </w:tr>
    </w:tbl>
    <w:p w:rsidR="000816CE" w:rsidRDefault="000816CE">
      <w:pPr>
        <w:ind w:firstLineChars="0" w:firstLine="0"/>
        <w:rPr>
          <w:color w:val="000000" w:themeColor="text1"/>
        </w:rPr>
      </w:pPr>
    </w:p>
    <w:sectPr w:rsidR="000816CE" w:rsidSect="000816CE">
      <w:pgSz w:w="16838" w:h="11906" w:orient="landscape"/>
      <w:pgMar w:top="1519" w:right="1440" w:bottom="1519" w:left="1702"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BEB" w:rsidRDefault="00FC7BEB">
      <w:pPr>
        <w:spacing w:line="240" w:lineRule="auto"/>
        <w:ind w:firstLine="640"/>
      </w:pPr>
      <w:r>
        <w:separator/>
      </w:r>
    </w:p>
  </w:endnote>
  <w:endnote w:type="continuationSeparator" w:id="0">
    <w:p w:rsidR="00FC7BEB" w:rsidRDefault="00FC7BEB">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
    <w:altName w:val="Arial Unicode MS"/>
    <w:charset w:val="86"/>
    <w:family w:val="auto"/>
    <w:pitch w:val="default"/>
    <w:sig w:usb0="00000000"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altName w:val="Arial Unicode MS"/>
    <w:charset w:val="86"/>
    <w:family w:val="modern"/>
    <w:pitch w:val="default"/>
    <w:sig w:usb0="00000000" w:usb1="38CF7CFA"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Microsoft YaHei UI">
    <w:altName w:val="微软雅黑"/>
    <w:charset w:val="86"/>
    <w:family w:val="swiss"/>
    <w:pitch w:val="default"/>
    <w:sig w:usb0="00000000" w:usb1="2ACF3C50"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方正仿宋_GBK">
    <w:altName w:val="微软雅黑"/>
    <w:charset w:val="86"/>
    <w:family w:val="script"/>
    <w:pitch w:val="default"/>
    <w:sig w:usb0="00000000" w:usb1="00000000" w:usb2="00000000" w:usb3="00000000" w:csb0="00040000" w:csb1="00000000"/>
  </w:font>
  <w:font w:name="等线">
    <w:altName w:val="Arial Unicode MS"/>
    <w:charset w:val="86"/>
    <w:family w:val="auto"/>
    <w:pitch w:val="default"/>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CE" w:rsidRDefault="000816CE">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CE" w:rsidRDefault="000816CE">
    <w:pPr>
      <w:pStyle w:val="a8"/>
      <w:ind w:firstLine="360"/>
    </w:pPr>
  </w:p>
  <w:p w:rsidR="000816CE" w:rsidRDefault="000816CE">
    <w:pPr>
      <w:pStyle w:val="a8"/>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CE" w:rsidRDefault="000816CE">
    <w:pPr>
      <w:pStyle w:val="a8"/>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CE" w:rsidRDefault="000816CE">
    <w:pPr>
      <w:pStyle w:val="a8"/>
      <w:ind w:firstLine="360"/>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filled="f" stroked="f" strokeweight=".5pt">
          <v:textbox style="mso-fit-shape-to-text:t" inset="0,0,0,0">
            <w:txbxContent>
              <w:p w:rsidR="000816CE" w:rsidRDefault="000816CE">
                <w:pPr>
                  <w:pStyle w:val="a8"/>
                  <w:ind w:firstLine="360"/>
                  <w:jc w:val="center"/>
                </w:pPr>
                <w:r w:rsidRPr="000816CE">
                  <w:fldChar w:fldCharType="begin"/>
                </w:r>
                <w:r w:rsidR="00FC7BEB">
                  <w:instrText>PAGE   \* MERGEFORMAT</w:instrText>
                </w:r>
                <w:r w:rsidRPr="000816CE">
                  <w:fldChar w:fldCharType="separate"/>
                </w:r>
                <w:r w:rsidR="006C0D30" w:rsidRPr="006C0D30">
                  <w:rPr>
                    <w:noProof/>
                    <w:lang w:val="zh-CN"/>
                  </w:rPr>
                  <w:t>II</w:t>
                </w:r>
                <w:r>
                  <w:rPr>
                    <w:lang w:val="zh-CN"/>
                  </w:rPr>
                  <w:fldChar w:fldCharType="end"/>
                </w:r>
              </w:p>
              <w:p w:rsidR="000816CE" w:rsidRDefault="000816CE">
                <w:pPr>
                  <w:pStyle w:val="1"/>
                  <w:spacing w:before="120" w:after="120"/>
                </w:pPr>
              </w:p>
            </w:txbxContent>
          </v:textbox>
          <w10:wrap anchorx="margin"/>
        </v:shape>
      </w:pict>
    </w:r>
  </w:p>
  <w:p w:rsidR="000816CE" w:rsidRDefault="000816CE">
    <w:pPr>
      <w:pStyle w:val="a8"/>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CE" w:rsidRDefault="000816CE">
    <w:pPr>
      <w:pStyle w:val="a8"/>
      <w:ind w:firstLine="360"/>
      <w:jc w:val="cente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sdt>
                <w:sdtPr>
                  <w:id w:val="1660112013"/>
                </w:sdtPr>
                <w:sdtContent>
                  <w:p w:rsidR="000816CE" w:rsidRDefault="000816CE">
                    <w:pPr>
                      <w:pStyle w:val="a8"/>
                      <w:ind w:firstLine="360"/>
                      <w:jc w:val="center"/>
                    </w:pPr>
                    <w:r w:rsidRPr="000816CE">
                      <w:fldChar w:fldCharType="begin"/>
                    </w:r>
                    <w:r w:rsidR="00FC7BEB">
                      <w:instrText>PAGE   \* MERGEFORMAT</w:instrText>
                    </w:r>
                    <w:r w:rsidRPr="000816CE">
                      <w:fldChar w:fldCharType="separate"/>
                    </w:r>
                    <w:r w:rsidR="006C0D30" w:rsidRPr="006C0D30">
                      <w:rPr>
                        <w:noProof/>
                        <w:lang w:val="zh-CN"/>
                      </w:rPr>
                      <w:t>32</w:t>
                    </w:r>
                    <w:r>
                      <w:rPr>
                        <w:lang w:val="zh-CN"/>
                      </w:rPr>
                      <w:fldChar w:fldCharType="end"/>
                    </w:r>
                  </w:p>
                </w:sdtContent>
              </w:sdt>
              <w:p w:rsidR="000816CE" w:rsidRDefault="000816CE">
                <w:pPr>
                  <w:pStyle w:val="1"/>
                  <w:spacing w:before="120" w:after="120"/>
                </w:pPr>
              </w:p>
            </w:txbxContent>
          </v:textbox>
          <w10:wrap anchorx="margin"/>
        </v:shape>
      </w:pict>
    </w:r>
  </w:p>
  <w:p w:rsidR="000816CE" w:rsidRDefault="000816CE">
    <w:pPr>
      <w:pStyle w:val="a8"/>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BEB" w:rsidRDefault="00FC7BEB">
      <w:pPr>
        <w:spacing w:line="240" w:lineRule="auto"/>
        <w:ind w:firstLine="640"/>
      </w:pPr>
      <w:r>
        <w:separator/>
      </w:r>
    </w:p>
  </w:footnote>
  <w:footnote w:type="continuationSeparator" w:id="0">
    <w:p w:rsidR="00FC7BEB" w:rsidRDefault="00FC7BEB">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CE" w:rsidRDefault="000816CE">
    <w:pPr>
      <w:pStyle w:val="a9"/>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CE" w:rsidRDefault="000816CE">
    <w:pPr>
      <w:pStyle w:val="a9"/>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CE" w:rsidRDefault="000816CE">
    <w:pPr>
      <w:pStyle w:val="a9"/>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HorizontalSpacing w:val="105"/>
  <w:drawingGridVerticalSpacing w:val="156"/>
  <w:noPunctuationKerning/>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49B07784"/>
    <w:rsid w:val="A8DF0536"/>
    <w:rsid w:val="D7DB8565"/>
    <w:rsid w:val="DFFF2599"/>
    <w:rsid w:val="FAFDF51C"/>
    <w:rsid w:val="0000042B"/>
    <w:rsid w:val="00000B62"/>
    <w:rsid w:val="00000E2A"/>
    <w:rsid w:val="00000E4F"/>
    <w:rsid w:val="00001599"/>
    <w:rsid w:val="000017CF"/>
    <w:rsid w:val="00001FAB"/>
    <w:rsid w:val="000029F1"/>
    <w:rsid w:val="00002C40"/>
    <w:rsid w:val="00003B0C"/>
    <w:rsid w:val="0000461F"/>
    <w:rsid w:val="0000504E"/>
    <w:rsid w:val="00005096"/>
    <w:rsid w:val="00005687"/>
    <w:rsid w:val="00007199"/>
    <w:rsid w:val="000071AB"/>
    <w:rsid w:val="000075FA"/>
    <w:rsid w:val="00007B53"/>
    <w:rsid w:val="00007DF3"/>
    <w:rsid w:val="0001018B"/>
    <w:rsid w:val="00011107"/>
    <w:rsid w:val="000118DF"/>
    <w:rsid w:val="000120B6"/>
    <w:rsid w:val="00012F1E"/>
    <w:rsid w:val="00013CE6"/>
    <w:rsid w:val="0001474D"/>
    <w:rsid w:val="00014EF8"/>
    <w:rsid w:val="000157D7"/>
    <w:rsid w:val="0001620C"/>
    <w:rsid w:val="00017B5A"/>
    <w:rsid w:val="00020081"/>
    <w:rsid w:val="000204B6"/>
    <w:rsid w:val="00020B08"/>
    <w:rsid w:val="00021129"/>
    <w:rsid w:val="000237F9"/>
    <w:rsid w:val="000242F8"/>
    <w:rsid w:val="0002532B"/>
    <w:rsid w:val="000260B2"/>
    <w:rsid w:val="00026E14"/>
    <w:rsid w:val="00027B6E"/>
    <w:rsid w:val="00027F8E"/>
    <w:rsid w:val="00031131"/>
    <w:rsid w:val="000317F2"/>
    <w:rsid w:val="000319CC"/>
    <w:rsid w:val="000324E4"/>
    <w:rsid w:val="000325CD"/>
    <w:rsid w:val="0003263B"/>
    <w:rsid w:val="0003279F"/>
    <w:rsid w:val="00034154"/>
    <w:rsid w:val="00034A32"/>
    <w:rsid w:val="00035062"/>
    <w:rsid w:val="00037338"/>
    <w:rsid w:val="00040EA7"/>
    <w:rsid w:val="00040EF1"/>
    <w:rsid w:val="000416AB"/>
    <w:rsid w:val="00041C22"/>
    <w:rsid w:val="00041ECD"/>
    <w:rsid w:val="00042424"/>
    <w:rsid w:val="0004277D"/>
    <w:rsid w:val="00042D1A"/>
    <w:rsid w:val="00043A14"/>
    <w:rsid w:val="0004526A"/>
    <w:rsid w:val="000472C7"/>
    <w:rsid w:val="000523C9"/>
    <w:rsid w:val="000523E6"/>
    <w:rsid w:val="0005254F"/>
    <w:rsid w:val="00052B8B"/>
    <w:rsid w:val="000531E5"/>
    <w:rsid w:val="000532F2"/>
    <w:rsid w:val="000545CF"/>
    <w:rsid w:val="000563BB"/>
    <w:rsid w:val="0005715D"/>
    <w:rsid w:val="000571C2"/>
    <w:rsid w:val="00057A6C"/>
    <w:rsid w:val="00057EE7"/>
    <w:rsid w:val="00060BBF"/>
    <w:rsid w:val="00061293"/>
    <w:rsid w:val="000622AC"/>
    <w:rsid w:val="00065B4A"/>
    <w:rsid w:val="00066121"/>
    <w:rsid w:val="000661A2"/>
    <w:rsid w:val="00066ADA"/>
    <w:rsid w:val="00067493"/>
    <w:rsid w:val="000675C0"/>
    <w:rsid w:val="0006791D"/>
    <w:rsid w:val="00072878"/>
    <w:rsid w:val="00072B6A"/>
    <w:rsid w:val="00073B01"/>
    <w:rsid w:val="00073C16"/>
    <w:rsid w:val="00073D27"/>
    <w:rsid w:val="00073EAD"/>
    <w:rsid w:val="000745CA"/>
    <w:rsid w:val="000751F9"/>
    <w:rsid w:val="00075E03"/>
    <w:rsid w:val="00076A6F"/>
    <w:rsid w:val="00081298"/>
    <w:rsid w:val="000816CE"/>
    <w:rsid w:val="000817DF"/>
    <w:rsid w:val="00081B02"/>
    <w:rsid w:val="0008303C"/>
    <w:rsid w:val="000832FC"/>
    <w:rsid w:val="00084520"/>
    <w:rsid w:val="00086319"/>
    <w:rsid w:val="0008716E"/>
    <w:rsid w:val="0008717B"/>
    <w:rsid w:val="00087A6B"/>
    <w:rsid w:val="00087F10"/>
    <w:rsid w:val="0009096F"/>
    <w:rsid w:val="00091A73"/>
    <w:rsid w:val="00091FE5"/>
    <w:rsid w:val="000921AA"/>
    <w:rsid w:val="00093473"/>
    <w:rsid w:val="0009355C"/>
    <w:rsid w:val="00093561"/>
    <w:rsid w:val="00093596"/>
    <w:rsid w:val="0009419B"/>
    <w:rsid w:val="0009469C"/>
    <w:rsid w:val="00094C78"/>
    <w:rsid w:val="00095D27"/>
    <w:rsid w:val="00096078"/>
    <w:rsid w:val="000960C6"/>
    <w:rsid w:val="00096900"/>
    <w:rsid w:val="000969FB"/>
    <w:rsid w:val="00096C5E"/>
    <w:rsid w:val="00096DB6"/>
    <w:rsid w:val="000A066F"/>
    <w:rsid w:val="000A099D"/>
    <w:rsid w:val="000A342C"/>
    <w:rsid w:val="000A56AF"/>
    <w:rsid w:val="000A60A3"/>
    <w:rsid w:val="000B04F4"/>
    <w:rsid w:val="000B1B1B"/>
    <w:rsid w:val="000B2226"/>
    <w:rsid w:val="000B2B35"/>
    <w:rsid w:val="000B31F5"/>
    <w:rsid w:val="000B35DC"/>
    <w:rsid w:val="000B4F77"/>
    <w:rsid w:val="000B553D"/>
    <w:rsid w:val="000C02C5"/>
    <w:rsid w:val="000C02FD"/>
    <w:rsid w:val="000C037E"/>
    <w:rsid w:val="000C0DD1"/>
    <w:rsid w:val="000C1202"/>
    <w:rsid w:val="000C128E"/>
    <w:rsid w:val="000C1E83"/>
    <w:rsid w:val="000C21E1"/>
    <w:rsid w:val="000C3ADB"/>
    <w:rsid w:val="000C3D7C"/>
    <w:rsid w:val="000C4173"/>
    <w:rsid w:val="000C5506"/>
    <w:rsid w:val="000C577C"/>
    <w:rsid w:val="000C5FF2"/>
    <w:rsid w:val="000C63A4"/>
    <w:rsid w:val="000C6709"/>
    <w:rsid w:val="000C6EAC"/>
    <w:rsid w:val="000C7450"/>
    <w:rsid w:val="000C7FDE"/>
    <w:rsid w:val="000D0E92"/>
    <w:rsid w:val="000D13F7"/>
    <w:rsid w:val="000D20E7"/>
    <w:rsid w:val="000D23C9"/>
    <w:rsid w:val="000D3AAE"/>
    <w:rsid w:val="000D3CAD"/>
    <w:rsid w:val="000D4430"/>
    <w:rsid w:val="000D5175"/>
    <w:rsid w:val="000D580E"/>
    <w:rsid w:val="000D5C1F"/>
    <w:rsid w:val="000D6B3D"/>
    <w:rsid w:val="000D7566"/>
    <w:rsid w:val="000E11B2"/>
    <w:rsid w:val="000E120F"/>
    <w:rsid w:val="000E350B"/>
    <w:rsid w:val="000E3B5A"/>
    <w:rsid w:val="000E3FB7"/>
    <w:rsid w:val="000E4FD7"/>
    <w:rsid w:val="000E5C39"/>
    <w:rsid w:val="000E5C7C"/>
    <w:rsid w:val="000E6600"/>
    <w:rsid w:val="000E766B"/>
    <w:rsid w:val="000F1782"/>
    <w:rsid w:val="000F38ED"/>
    <w:rsid w:val="000F3A75"/>
    <w:rsid w:val="000F3B0A"/>
    <w:rsid w:val="000F3F37"/>
    <w:rsid w:val="000F3F7D"/>
    <w:rsid w:val="000F636B"/>
    <w:rsid w:val="000F7B1D"/>
    <w:rsid w:val="000F7F12"/>
    <w:rsid w:val="00100316"/>
    <w:rsid w:val="00100C02"/>
    <w:rsid w:val="001012E4"/>
    <w:rsid w:val="00103D1F"/>
    <w:rsid w:val="00104590"/>
    <w:rsid w:val="00104681"/>
    <w:rsid w:val="00104B31"/>
    <w:rsid w:val="001060C7"/>
    <w:rsid w:val="00107278"/>
    <w:rsid w:val="0011052B"/>
    <w:rsid w:val="001107B4"/>
    <w:rsid w:val="00110A16"/>
    <w:rsid w:val="00110D72"/>
    <w:rsid w:val="00111104"/>
    <w:rsid w:val="00112339"/>
    <w:rsid w:val="00112511"/>
    <w:rsid w:val="00114318"/>
    <w:rsid w:val="00115517"/>
    <w:rsid w:val="00115B72"/>
    <w:rsid w:val="00115FF0"/>
    <w:rsid w:val="00116081"/>
    <w:rsid w:val="001174F3"/>
    <w:rsid w:val="001201D7"/>
    <w:rsid w:val="00120CF1"/>
    <w:rsid w:val="00121546"/>
    <w:rsid w:val="00121CB5"/>
    <w:rsid w:val="00121F65"/>
    <w:rsid w:val="00122C43"/>
    <w:rsid w:val="00123ED5"/>
    <w:rsid w:val="0012482C"/>
    <w:rsid w:val="0012516D"/>
    <w:rsid w:val="00126A3F"/>
    <w:rsid w:val="00127E4F"/>
    <w:rsid w:val="001301FD"/>
    <w:rsid w:val="00130B4F"/>
    <w:rsid w:val="00130BBA"/>
    <w:rsid w:val="00131FD6"/>
    <w:rsid w:val="00132396"/>
    <w:rsid w:val="00134134"/>
    <w:rsid w:val="00134D24"/>
    <w:rsid w:val="00135399"/>
    <w:rsid w:val="001353D0"/>
    <w:rsid w:val="0013560E"/>
    <w:rsid w:val="0013570A"/>
    <w:rsid w:val="00135853"/>
    <w:rsid w:val="00136839"/>
    <w:rsid w:val="001370CD"/>
    <w:rsid w:val="00140536"/>
    <w:rsid w:val="00140683"/>
    <w:rsid w:val="00141736"/>
    <w:rsid w:val="0014262B"/>
    <w:rsid w:val="0014482A"/>
    <w:rsid w:val="0014493D"/>
    <w:rsid w:val="00145197"/>
    <w:rsid w:val="001455DF"/>
    <w:rsid w:val="00145756"/>
    <w:rsid w:val="00145957"/>
    <w:rsid w:val="00145A91"/>
    <w:rsid w:val="001461DE"/>
    <w:rsid w:val="00147372"/>
    <w:rsid w:val="00147947"/>
    <w:rsid w:val="001506E9"/>
    <w:rsid w:val="0015172A"/>
    <w:rsid w:val="00152F93"/>
    <w:rsid w:val="00153861"/>
    <w:rsid w:val="001538BC"/>
    <w:rsid w:val="00155002"/>
    <w:rsid w:val="00156E8B"/>
    <w:rsid w:val="00157394"/>
    <w:rsid w:val="0015789E"/>
    <w:rsid w:val="00157CD7"/>
    <w:rsid w:val="001602C0"/>
    <w:rsid w:val="001602CA"/>
    <w:rsid w:val="00160994"/>
    <w:rsid w:val="0016102B"/>
    <w:rsid w:val="00161673"/>
    <w:rsid w:val="00161AD6"/>
    <w:rsid w:val="001622B6"/>
    <w:rsid w:val="0016380F"/>
    <w:rsid w:val="00163A69"/>
    <w:rsid w:val="00165D6B"/>
    <w:rsid w:val="00166534"/>
    <w:rsid w:val="00166E57"/>
    <w:rsid w:val="00167215"/>
    <w:rsid w:val="001677EB"/>
    <w:rsid w:val="00167DF3"/>
    <w:rsid w:val="00167F68"/>
    <w:rsid w:val="00167FC5"/>
    <w:rsid w:val="00170A66"/>
    <w:rsid w:val="00171CE4"/>
    <w:rsid w:val="0017383E"/>
    <w:rsid w:val="001739CE"/>
    <w:rsid w:val="00173D62"/>
    <w:rsid w:val="00174686"/>
    <w:rsid w:val="00175B76"/>
    <w:rsid w:val="00176875"/>
    <w:rsid w:val="00177381"/>
    <w:rsid w:val="00177589"/>
    <w:rsid w:val="001805F9"/>
    <w:rsid w:val="0018098F"/>
    <w:rsid w:val="00180C21"/>
    <w:rsid w:val="00182481"/>
    <w:rsid w:val="001836EF"/>
    <w:rsid w:val="0018382E"/>
    <w:rsid w:val="00184625"/>
    <w:rsid w:val="00186FA5"/>
    <w:rsid w:val="001877B3"/>
    <w:rsid w:val="00187960"/>
    <w:rsid w:val="00187B3D"/>
    <w:rsid w:val="00187D9E"/>
    <w:rsid w:val="00194317"/>
    <w:rsid w:val="001953ED"/>
    <w:rsid w:val="00196941"/>
    <w:rsid w:val="001A0258"/>
    <w:rsid w:val="001A1C26"/>
    <w:rsid w:val="001A2266"/>
    <w:rsid w:val="001A296D"/>
    <w:rsid w:val="001A38ED"/>
    <w:rsid w:val="001A3D63"/>
    <w:rsid w:val="001A4252"/>
    <w:rsid w:val="001A4F04"/>
    <w:rsid w:val="001A5727"/>
    <w:rsid w:val="001A5F28"/>
    <w:rsid w:val="001A6495"/>
    <w:rsid w:val="001A75BF"/>
    <w:rsid w:val="001B0B8C"/>
    <w:rsid w:val="001B144D"/>
    <w:rsid w:val="001B18C5"/>
    <w:rsid w:val="001B246D"/>
    <w:rsid w:val="001B32F1"/>
    <w:rsid w:val="001B3975"/>
    <w:rsid w:val="001B3BF3"/>
    <w:rsid w:val="001B408A"/>
    <w:rsid w:val="001B4F36"/>
    <w:rsid w:val="001B4F44"/>
    <w:rsid w:val="001B4FD0"/>
    <w:rsid w:val="001B5472"/>
    <w:rsid w:val="001B5999"/>
    <w:rsid w:val="001B63F9"/>
    <w:rsid w:val="001B6FC4"/>
    <w:rsid w:val="001B763A"/>
    <w:rsid w:val="001C017E"/>
    <w:rsid w:val="001C0813"/>
    <w:rsid w:val="001C1A8F"/>
    <w:rsid w:val="001C3C6C"/>
    <w:rsid w:val="001C4037"/>
    <w:rsid w:val="001C4475"/>
    <w:rsid w:val="001C5491"/>
    <w:rsid w:val="001C5D34"/>
    <w:rsid w:val="001C67C4"/>
    <w:rsid w:val="001D1173"/>
    <w:rsid w:val="001D1774"/>
    <w:rsid w:val="001D1B73"/>
    <w:rsid w:val="001D31D3"/>
    <w:rsid w:val="001D36EF"/>
    <w:rsid w:val="001D3BD9"/>
    <w:rsid w:val="001D418D"/>
    <w:rsid w:val="001D46D4"/>
    <w:rsid w:val="001E266C"/>
    <w:rsid w:val="001E4C96"/>
    <w:rsid w:val="001E6B45"/>
    <w:rsid w:val="001E6BF4"/>
    <w:rsid w:val="001E6EC9"/>
    <w:rsid w:val="001F0168"/>
    <w:rsid w:val="001F0225"/>
    <w:rsid w:val="001F0444"/>
    <w:rsid w:val="001F053A"/>
    <w:rsid w:val="001F100B"/>
    <w:rsid w:val="001F1879"/>
    <w:rsid w:val="001F1E87"/>
    <w:rsid w:val="001F4145"/>
    <w:rsid w:val="001F42EA"/>
    <w:rsid w:val="001F50DD"/>
    <w:rsid w:val="001F5AD5"/>
    <w:rsid w:val="001F6B98"/>
    <w:rsid w:val="001F7555"/>
    <w:rsid w:val="0020267A"/>
    <w:rsid w:val="0020417F"/>
    <w:rsid w:val="00205B71"/>
    <w:rsid w:val="00207634"/>
    <w:rsid w:val="00207CD7"/>
    <w:rsid w:val="0021020D"/>
    <w:rsid w:val="0021050D"/>
    <w:rsid w:val="002129EA"/>
    <w:rsid w:val="00212FFA"/>
    <w:rsid w:val="0021453B"/>
    <w:rsid w:val="00214D0F"/>
    <w:rsid w:val="00216B00"/>
    <w:rsid w:val="0021754D"/>
    <w:rsid w:val="00217C33"/>
    <w:rsid w:val="002218DD"/>
    <w:rsid w:val="00221ADA"/>
    <w:rsid w:val="0022225C"/>
    <w:rsid w:val="002225A8"/>
    <w:rsid w:val="00223DF5"/>
    <w:rsid w:val="002254AC"/>
    <w:rsid w:val="002263A1"/>
    <w:rsid w:val="0022647E"/>
    <w:rsid w:val="002265E2"/>
    <w:rsid w:val="002268E7"/>
    <w:rsid w:val="00226C46"/>
    <w:rsid w:val="002270D3"/>
    <w:rsid w:val="00231AAB"/>
    <w:rsid w:val="00234D2E"/>
    <w:rsid w:val="00235433"/>
    <w:rsid w:val="00236082"/>
    <w:rsid w:val="0023638D"/>
    <w:rsid w:val="00237664"/>
    <w:rsid w:val="00237CD4"/>
    <w:rsid w:val="00237EC9"/>
    <w:rsid w:val="00237F02"/>
    <w:rsid w:val="00240180"/>
    <w:rsid w:val="002415B9"/>
    <w:rsid w:val="00241E48"/>
    <w:rsid w:val="00242022"/>
    <w:rsid w:val="00242093"/>
    <w:rsid w:val="00242A23"/>
    <w:rsid w:val="002436C8"/>
    <w:rsid w:val="00245069"/>
    <w:rsid w:val="00245D9D"/>
    <w:rsid w:val="00246133"/>
    <w:rsid w:val="00246E91"/>
    <w:rsid w:val="00246ED0"/>
    <w:rsid w:val="00247C42"/>
    <w:rsid w:val="00252160"/>
    <w:rsid w:val="00253F33"/>
    <w:rsid w:val="00254346"/>
    <w:rsid w:val="00254749"/>
    <w:rsid w:val="00257769"/>
    <w:rsid w:val="0026317D"/>
    <w:rsid w:val="00263EDC"/>
    <w:rsid w:val="00264FFC"/>
    <w:rsid w:val="002657AC"/>
    <w:rsid w:val="00266153"/>
    <w:rsid w:val="00266ADF"/>
    <w:rsid w:val="00270106"/>
    <w:rsid w:val="00270267"/>
    <w:rsid w:val="00270E02"/>
    <w:rsid w:val="00270F8A"/>
    <w:rsid w:val="002725BB"/>
    <w:rsid w:val="002738FD"/>
    <w:rsid w:val="00274BEE"/>
    <w:rsid w:val="002754FC"/>
    <w:rsid w:val="00275727"/>
    <w:rsid w:val="00275FA7"/>
    <w:rsid w:val="00277294"/>
    <w:rsid w:val="0027773E"/>
    <w:rsid w:val="00277EAD"/>
    <w:rsid w:val="002802C4"/>
    <w:rsid w:val="00280F4B"/>
    <w:rsid w:val="00283926"/>
    <w:rsid w:val="002845E5"/>
    <w:rsid w:val="0028633A"/>
    <w:rsid w:val="0028717F"/>
    <w:rsid w:val="0028759F"/>
    <w:rsid w:val="00290DD6"/>
    <w:rsid w:val="00291FB2"/>
    <w:rsid w:val="0029225B"/>
    <w:rsid w:val="002922BD"/>
    <w:rsid w:val="00292360"/>
    <w:rsid w:val="00292DCA"/>
    <w:rsid w:val="00293319"/>
    <w:rsid w:val="00295707"/>
    <w:rsid w:val="00296ACA"/>
    <w:rsid w:val="0029754F"/>
    <w:rsid w:val="002A32FC"/>
    <w:rsid w:val="002A4408"/>
    <w:rsid w:val="002A486F"/>
    <w:rsid w:val="002A4A05"/>
    <w:rsid w:val="002A4C56"/>
    <w:rsid w:val="002A614E"/>
    <w:rsid w:val="002A6D36"/>
    <w:rsid w:val="002A7341"/>
    <w:rsid w:val="002B0956"/>
    <w:rsid w:val="002B0C1D"/>
    <w:rsid w:val="002B0EBA"/>
    <w:rsid w:val="002B256C"/>
    <w:rsid w:val="002B39F5"/>
    <w:rsid w:val="002B64E2"/>
    <w:rsid w:val="002B6DC4"/>
    <w:rsid w:val="002B78F6"/>
    <w:rsid w:val="002C0045"/>
    <w:rsid w:val="002C1C30"/>
    <w:rsid w:val="002C3E72"/>
    <w:rsid w:val="002C60A3"/>
    <w:rsid w:val="002C623D"/>
    <w:rsid w:val="002D0742"/>
    <w:rsid w:val="002D1260"/>
    <w:rsid w:val="002D196E"/>
    <w:rsid w:val="002D1E72"/>
    <w:rsid w:val="002D1EFD"/>
    <w:rsid w:val="002D3234"/>
    <w:rsid w:val="002D4713"/>
    <w:rsid w:val="002D499F"/>
    <w:rsid w:val="002D6F10"/>
    <w:rsid w:val="002E07CF"/>
    <w:rsid w:val="002E133A"/>
    <w:rsid w:val="002E13D8"/>
    <w:rsid w:val="002E1AEC"/>
    <w:rsid w:val="002E1B8A"/>
    <w:rsid w:val="002E1CC5"/>
    <w:rsid w:val="002E2A79"/>
    <w:rsid w:val="002E2D0D"/>
    <w:rsid w:val="002E3553"/>
    <w:rsid w:val="002E3642"/>
    <w:rsid w:val="002E3733"/>
    <w:rsid w:val="002E37A2"/>
    <w:rsid w:val="002E395A"/>
    <w:rsid w:val="002E4054"/>
    <w:rsid w:val="002E405F"/>
    <w:rsid w:val="002E443E"/>
    <w:rsid w:val="002E46C0"/>
    <w:rsid w:val="002E47E9"/>
    <w:rsid w:val="002E543D"/>
    <w:rsid w:val="002E57B6"/>
    <w:rsid w:val="002E5A24"/>
    <w:rsid w:val="002E5CF1"/>
    <w:rsid w:val="002E6A5B"/>
    <w:rsid w:val="002E6E82"/>
    <w:rsid w:val="002E6F12"/>
    <w:rsid w:val="002E77AC"/>
    <w:rsid w:val="002F0554"/>
    <w:rsid w:val="002F0DB4"/>
    <w:rsid w:val="002F11EA"/>
    <w:rsid w:val="002F2008"/>
    <w:rsid w:val="002F2873"/>
    <w:rsid w:val="002F29FE"/>
    <w:rsid w:val="002F34BD"/>
    <w:rsid w:val="002F471F"/>
    <w:rsid w:val="002F6FEE"/>
    <w:rsid w:val="002F7608"/>
    <w:rsid w:val="002F7640"/>
    <w:rsid w:val="003018EE"/>
    <w:rsid w:val="00302433"/>
    <w:rsid w:val="00302815"/>
    <w:rsid w:val="00303402"/>
    <w:rsid w:val="003035ED"/>
    <w:rsid w:val="00303929"/>
    <w:rsid w:val="00303D45"/>
    <w:rsid w:val="003043C4"/>
    <w:rsid w:val="0030454A"/>
    <w:rsid w:val="00305139"/>
    <w:rsid w:val="00305EBD"/>
    <w:rsid w:val="00306E73"/>
    <w:rsid w:val="00307205"/>
    <w:rsid w:val="0031108D"/>
    <w:rsid w:val="003112E6"/>
    <w:rsid w:val="00311D93"/>
    <w:rsid w:val="00311FEF"/>
    <w:rsid w:val="0031229D"/>
    <w:rsid w:val="0031273B"/>
    <w:rsid w:val="003127E2"/>
    <w:rsid w:val="003128E8"/>
    <w:rsid w:val="00313095"/>
    <w:rsid w:val="003138AE"/>
    <w:rsid w:val="00313BFE"/>
    <w:rsid w:val="00313D11"/>
    <w:rsid w:val="00314351"/>
    <w:rsid w:val="00314B5A"/>
    <w:rsid w:val="0031525E"/>
    <w:rsid w:val="003155DA"/>
    <w:rsid w:val="0031789D"/>
    <w:rsid w:val="00321D80"/>
    <w:rsid w:val="0032250E"/>
    <w:rsid w:val="0032305B"/>
    <w:rsid w:val="00323EE5"/>
    <w:rsid w:val="00326082"/>
    <w:rsid w:val="003268D6"/>
    <w:rsid w:val="0033008D"/>
    <w:rsid w:val="003322CB"/>
    <w:rsid w:val="00333281"/>
    <w:rsid w:val="00334910"/>
    <w:rsid w:val="00335022"/>
    <w:rsid w:val="003353C9"/>
    <w:rsid w:val="003359EA"/>
    <w:rsid w:val="00336790"/>
    <w:rsid w:val="00340528"/>
    <w:rsid w:val="00342365"/>
    <w:rsid w:val="00343C4D"/>
    <w:rsid w:val="0034575A"/>
    <w:rsid w:val="003472BE"/>
    <w:rsid w:val="003476FA"/>
    <w:rsid w:val="00347B67"/>
    <w:rsid w:val="00350AC8"/>
    <w:rsid w:val="003511B8"/>
    <w:rsid w:val="00351EC4"/>
    <w:rsid w:val="00352B95"/>
    <w:rsid w:val="003531F4"/>
    <w:rsid w:val="00353FA1"/>
    <w:rsid w:val="003546F5"/>
    <w:rsid w:val="00354936"/>
    <w:rsid w:val="003549CB"/>
    <w:rsid w:val="003551A0"/>
    <w:rsid w:val="00355E58"/>
    <w:rsid w:val="00357298"/>
    <w:rsid w:val="003579B2"/>
    <w:rsid w:val="00357B3E"/>
    <w:rsid w:val="003613A8"/>
    <w:rsid w:val="003622E1"/>
    <w:rsid w:val="00362CC8"/>
    <w:rsid w:val="003635FE"/>
    <w:rsid w:val="00364C65"/>
    <w:rsid w:val="00364CB6"/>
    <w:rsid w:val="0036563E"/>
    <w:rsid w:val="00365FE8"/>
    <w:rsid w:val="003663AB"/>
    <w:rsid w:val="00367C99"/>
    <w:rsid w:val="00367E39"/>
    <w:rsid w:val="00370F17"/>
    <w:rsid w:val="00371A69"/>
    <w:rsid w:val="00372D86"/>
    <w:rsid w:val="00372D94"/>
    <w:rsid w:val="00372E51"/>
    <w:rsid w:val="00373A01"/>
    <w:rsid w:val="00373BC8"/>
    <w:rsid w:val="00374E54"/>
    <w:rsid w:val="00375AD2"/>
    <w:rsid w:val="00375E9C"/>
    <w:rsid w:val="00376229"/>
    <w:rsid w:val="003763DB"/>
    <w:rsid w:val="003775A9"/>
    <w:rsid w:val="003778EA"/>
    <w:rsid w:val="003803A7"/>
    <w:rsid w:val="003804F0"/>
    <w:rsid w:val="0038057B"/>
    <w:rsid w:val="00381870"/>
    <w:rsid w:val="00382F95"/>
    <w:rsid w:val="00384DA5"/>
    <w:rsid w:val="00384E66"/>
    <w:rsid w:val="003852C1"/>
    <w:rsid w:val="003852D5"/>
    <w:rsid w:val="003860DC"/>
    <w:rsid w:val="003867DF"/>
    <w:rsid w:val="003873FE"/>
    <w:rsid w:val="00391522"/>
    <w:rsid w:val="00391B4E"/>
    <w:rsid w:val="00394785"/>
    <w:rsid w:val="00395E62"/>
    <w:rsid w:val="00396AA4"/>
    <w:rsid w:val="00396CB0"/>
    <w:rsid w:val="00397199"/>
    <w:rsid w:val="0039741E"/>
    <w:rsid w:val="003A003C"/>
    <w:rsid w:val="003A23A9"/>
    <w:rsid w:val="003A2E82"/>
    <w:rsid w:val="003A3529"/>
    <w:rsid w:val="003A35B8"/>
    <w:rsid w:val="003A36FC"/>
    <w:rsid w:val="003A3F98"/>
    <w:rsid w:val="003A43EB"/>
    <w:rsid w:val="003A56E1"/>
    <w:rsid w:val="003A693C"/>
    <w:rsid w:val="003A782B"/>
    <w:rsid w:val="003B0E3F"/>
    <w:rsid w:val="003B15CC"/>
    <w:rsid w:val="003B1928"/>
    <w:rsid w:val="003B1C2A"/>
    <w:rsid w:val="003B228B"/>
    <w:rsid w:val="003B3959"/>
    <w:rsid w:val="003B59D5"/>
    <w:rsid w:val="003B6769"/>
    <w:rsid w:val="003B6EFB"/>
    <w:rsid w:val="003B73A4"/>
    <w:rsid w:val="003B7CB3"/>
    <w:rsid w:val="003B7D7A"/>
    <w:rsid w:val="003C0094"/>
    <w:rsid w:val="003C190A"/>
    <w:rsid w:val="003C4121"/>
    <w:rsid w:val="003C43A1"/>
    <w:rsid w:val="003C43EA"/>
    <w:rsid w:val="003C54C2"/>
    <w:rsid w:val="003C54FE"/>
    <w:rsid w:val="003D130D"/>
    <w:rsid w:val="003D1B74"/>
    <w:rsid w:val="003D4105"/>
    <w:rsid w:val="003D44F8"/>
    <w:rsid w:val="003D4E56"/>
    <w:rsid w:val="003D5D45"/>
    <w:rsid w:val="003D6440"/>
    <w:rsid w:val="003D65F2"/>
    <w:rsid w:val="003E17E6"/>
    <w:rsid w:val="003E26C1"/>
    <w:rsid w:val="003E2A02"/>
    <w:rsid w:val="003E3331"/>
    <w:rsid w:val="003E4459"/>
    <w:rsid w:val="003E5CA1"/>
    <w:rsid w:val="003E6B87"/>
    <w:rsid w:val="003F05E1"/>
    <w:rsid w:val="003F08BF"/>
    <w:rsid w:val="003F1875"/>
    <w:rsid w:val="003F364B"/>
    <w:rsid w:val="003F4585"/>
    <w:rsid w:val="003F5628"/>
    <w:rsid w:val="003F585C"/>
    <w:rsid w:val="003F68D9"/>
    <w:rsid w:val="003F6B8F"/>
    <w:rsid w:val="003F7473"/>
    <w:rsid w:val="003F7BBA"/>
    <w:rsid w:val="003F7D9E"/>
    <w:rsid w:val="0040273C"/>
    <w:rsid w:val="004029EC"/>
    <w:rsid w:val="004040CD"/>
    <w:rsid w:val="004059D1"/>
    <w:rsid w:val="004077B7"/>
    <w:rsid w:val="00410E5A"/>
    <w:rsid w:val="004120D9"/>
    <w:rsid w:val="00412406"/>
    <w:rsid w:val="004142FF"/>
    <w:rsid w:val="004154B9"/>
    <w:rsid w:val="004154DC"/>
    <w:rsid w:val="0041624F"/>
    <w:rsid w:val="004162BD"/>
    <w:rsid w:val="00417611"/>
    <w:rsid w:val="00417957"/>
    <w:rsid w:val="00420A68"/>
    <w:rsid w:val="004212B7"/>
    <w:rsid w:val="00422015"/>
    <w:rsid w:val="00422295"/>
    <w:rsid w:val="00423C71"/>
    <w:rsid w:val="004258B7"/>
    <w:rsid w:val="004264F3"/>
    <w:rsid w:val="0043037C"/>
    <w:rsid w:val="00430DDD"/>
    <w:rsid w:val="00431182"/>
    <w:rsid w:val="00431E90"/>
    <w:rsid w:val="00432822"/>
    <w:rsid w:val="00435205"/>
    <w:rsid w:val="00435252"/>
    <w:rsid w:val="00443293"/>
    <w:rsid w:val="004445C8"/>
    <w:rsid w:val="004459E9"/>
    <w:rsid w:val="00447786"/>
    <w:rsid w:val="00447F3F"/>
    <w:rsid w:val="004513CF"/>
    <w:rsid w:val="00452C1F"/>
    <w:rsid w:val="004542BE"/>
    <w:rsid w:val="0045666D"/>
    <w:rsid w:val="00456C3E"/>
    <w:rsid w:val="00456F80"/>
    <w:rsid w:val="00456FD7"/>
    <w:rsid w:val="0045715A"/>
    <w:rsid w:val="004572C3"/>
    <w:rsid w:val="00457AA9"/>
    <w:rsid w:val="0046053B"/>
    <w:rsid w:val="004618F5"/>
    <w:rsid w:val="00462421"/>
    <w:rsid w:val="004625F6"/>
    <w:rsid w:val="00462672"/>
    <w:rsid w:val="00463FAB"/>
    <w:rsid w:val="00464CE3"/>
    <w:rsid w:val="00465E50"/>
    <w:rsid w:val="00465E88"/>
    <w:rsid w:val="00466161"/>
    <w:rsid w:val="00466FE0"/>
    <w:rsid w:val="00467FC7"/>
    <w:rsid w:val="0047000C"/>
    <w:rsid w:val="00471197"/>
    <w:rsid w:val="00473989"/>
    <w:rsid w:val="004739AB"/>
    <w:rsid w:val="00474B39"/>
    <w:rsid w:val="00475849"/>
    <w:rsid w:val="0047623A"/>
    <w:rsid w:val="00477C20"/>
    <w:rsid w:val="00480552"/>
    <w:rsid w:val="00481371"/>
    <w:rsid w:val="004829EB"/>
    <w:rsid w:val="004831BE"/>
    <w:rsid w:val="00483504"/>
    <w:rsid w:val="00483EE9"/>
    <w:rsid w:val="00483FA2"/>
    <w:rsid w:val="00484732"/>
    <w:rsid w:val="004851CC"/>
    <w:rsid w:val="00485A06"/>
    <w:rsid w:val="00485BDF"/>
    <w:rsid w:val="00486116"/>
    <w:rsid w:val="00486176"/>
    <w:rsid w:val="0048652D"/>
    <w:rsid w:val="004871C0"/>
    <w:rsid w:val="00487AF3"/>
    <w:rsid w:val="00490BBA"/>
    <w:rsid w:val="00490BE4"/>
    <w:rsid w:val="00490C78"/>
    <w:rsid w:val="004917FA"/>
    <w:rsid w:val="00492548"/>
    <w:rsid w:val="00493ECA"/>
    <w:rsid w:val="00494AA9"/>
    <w:rsid w:val="00494DC4"/>
    <w:rsid w:val="00494DDE"/>
    <w:rsid w:val="004954C5"/>
    <w:rsid w:val="00497416"/>
    <w:rsid w:val="00497586"/>
    <w:rsid w:val="004A1BE4"/>
    <w:rsid w:val="004A2846"/>
    <w:rsid w:val="004A36C3"/>
    <w:rsid w:val="004A383A"/>
    <w:rsid w:val="004A4C95"/>
    <w:rsid w:val="004B00A4"/>
    <w:rsid w:val="004B0B93"/>
    <w:rsid w:val="004B145C"/>
    <w:rsid w:val="004B2BBC"/>
    <w:rsid w:val="004B3E3F"/>
    <w:rsid w:val="004B56D1"/>
    <w:rsid w:val="004B687E"/>
    <w:rsid w:val="004B68DC"/>
    <w:rsid w:val="004B69FF"/>
    <w:rsid w:val="004B6A0D"/>
    <w:rsid w:val="004B75C5"/>
    <w:rsid w:val="004B77D9"/>
    <w:rsid w:val="004B7976"/>
    <w:rsid w:val="004C05E2"/>
    <w:rsid w:val="004C1D19"/>
    <w:rsid w:val="004C26B7"/>
    <w:rsid w:val="004C2700"/>
    <w:rsid w:val="004C27CD"/>
    <w:rsid w:val="004C3330"/>
    <w:rsid w:val="004C4DC0"/>
    <w:rsid w:val="004C549E"/>
    <w:rsid w:val="004C643D"/>
    <w:rsid w:val="004C6EA2"/>
    <w:rsid w:val="004C7963"/>
    <w:rsid w:val="004D1001"/>
    <w:rsid w:val="004D2FC2"/>
    <w:rsid w:val="004D38D4"/>
    <w:rsid w:val="004D46B4"/>
    <w:rsid w:val="004D5040"/>
    <w:rsid w:val="004D5C33"/>
    <w:rsid w:val="004D5D00"/>
    <w:rsid w:val="004D5F80"/>
    <w:rsid w:val="004D6129"/>
    <w:rsid w:val="004D66EE"/>
    <w:rsid w:val="004D77D5"/>
    <w:rsid w:val="004E00DF"/>
    <w:rsid w:val="004E0170"/>
    <w:rsid w:val="004E18D3"/>
    <w:rsid w:val="004E3C24"/>
    <w:rsid w:val="004E404F"/>
    <w:rsid w:val="004E47C9"/>
    <w:rsid w:val="004E4C7E"/>
    <w:rsid w:val="004E4F94"/>
    <w:rsid w:val="004E59BD"/>
    <w:rsid w:val="004E5C77"/>
    <w:rsid w:val="004E6092"/>
    <w:rsid w:val="004E63CC"/>
    <w:rsid w:val="004E654D"/>
    <w:rsid w:val="004E6618"/>
    <w:rsid w:val="004E694D"/>
    <w:rsid w:val="004E739A"/>
    <w:rsid w:val="004F01AF"/>
    <w:rsid w:val="004F1950"/>
    <w:rsid w:val="004F1C2B"/>
    <w:rsid w:val="004F2DFB"/>
    <w:rsid w:val="004F432F"/>
    <w:rsid w:val="004F4F24"/>
    <w:rsid w:val="004F4FB5"/>
    <w:rsid w:val="004F568C"/>
    <w:rsid w:val="004F6064"/>
    <w:rsid w:val="004F613F"/>
    <w:rsid w:val="004F61BE"/>
    <w:rsid w:val="004F7471"/>
    <w:rsid w:val="004F796F"/>
    <w:rsid w:val="00501DB2"/>
    <w:rsid w:val="0050363C"/>
    <w:rsid w:val="005037DC"/>
    <w:rsid w:val="005039D4"/>
    <w:rsid w:val="00504974"/>
    <w:rsid w:val="0050528B"/>
    <w:rsid w:val="005076C5"/>
    <w:rsid w:val="0051186E"/>
    <w:rsid w:val="0051222D"/>
    <w:rsid w:val="00512E75"/>
    <w:rsid w:val="0051378C"/>
    <w:rsid w:val="00514877"/>
    <w:rsid w:val="00514ABD"/>
    <w:rsid w:val="005157DE"/>
    <w:rsid w:val="00515A17"/>
    <w:rsid w:val="00515F2C"/>
    <w:rsid w:val="0051615D"/>
    <w:rsid w:val="0051635F"/>
    <w:rsid w:val="00521143"/>
    <w:rsid w:val="00521EF2"/>
    <w:rsid w:val="00522A71"/>
    <w:rsid w:val="005232F9"/>
    <w:rsid w:val="00523E58"/>
    <w:rsid w:val="005245D8"/>
    <w:rsid w:val="005256DF"/>
    <w:rsid w:val="0052583F"/>
    <w:rsid w:val="0052592C"/>
    <w:rsid w:val="00525930"/>
    <w:rsid w:val="00525EFC"/>
    <w:rsid w:val="00527181"/>
    <w:rsid w:val="005301D3"/>
    <w:rsid w:val="00530889"/>
    <w:rsid w:val="00530BAC"/>
    <w:rsid w:val="005325FA"/>
    <w:rsid w:val="005343B5"/>
    <w:rsid w:val="005348CA"/>
    <w:rsid w:val="005354C7"/>
    <w:rsid w:val="00536178"/>
    <w:rsid w:val="005363E1"/>
    <w:rsid w:val="005369B0"/>
    <w:rsid w:val="00537F2E"/>
    <w:rsid w:val="00540C50"/>
    <w:rsid w:val="005433C3"/>
    <w:rsid w:val="00543C22"/>
    <w:rsid w:val="00543C70"/>
    <w:rsid w:val="00544043"/>
    <w:rsid w:val="00544459"/>
    <w:rsid w:val="00544A2B"/>
    <w:rsid w:val="00550550"/>
    <w:rsid w:val="00551246"/>
    <w:rsid w:val="005514DE"/>
    <w:rsid w:val="0055379C"/>
    <w:rsid w:val="00554C7C"/>
    <w:rsid w:val="00555031"/>
    <w:rsid w:val="0055556D"/>
    <w:rsid w:val="0055583A"/>
    <w:rsid w:val="00556101"/>
    <w:rsid w:val="00556A18"/>
    <w:rsid w:val="00556F09"/>
    <w:rsid w:val="00560543"/>
    <w:rsid w:val="005606F0"/>
    <w:rsid w:val="00560810"/>
    <w:rsid w:val="00560E94"/>
    <w:rsid w:val="00561A23"/>
    <w:rsid w:val="00562847"/>
    <w:rsid w:val="00563E1B"/>
    <w:rsid w:val="00564BC5"/>
    <w:rsid w:val="005657D2"/>
    <w:rsid w:val="00567C60"/>
    <w:rsid w:val="00567D66"/>
    <w:rsid w:val="005701A6"/>
    <w:rsid w:val="00570407"/>
    <w:rsid w:val="00570A77"/>
    <w:rsid w:val="00570AA8"/>
    <w:rsid w:val="00571283"/>
    <w:rsid w:val="00571484"/>
    <w:rsid w:val="00571E7D"/>
    <w:rsid w:val="005728D0"/>
    <w:rsid w:val="00574068"/>
    <w:rsid w:val="00575B5A"/>
    <w:rsid w:val="00575C12"/>
    <w:rsid w:val="005761A6"/>
    <w:rsid w:val="00576562"/>
    <w:rsid w:val="00576CBE"/>
    <w:rsid w:val="0057704F"/>
    <w:rsid w:val="00580FC2"/>
    <w:rsid w:val="00581DA8"/>
    <w:rsid w:val="00582171"/>
    <w:rsid w:val="005823D1"/>
    <w:rsid w:val="00582638"/>
    <w:rsid w:val="005837CC"/>
    <w:rsid w:val="00584054"/>
    <w:rsid w:val="00584265"/>
    <w:rsid w:val="005845E9"/>
    <w:rsid w:val="00584CA8"/>
    <w:rsid w:val="00585EF8"/>
    <w:rsid w:val="005865FE"/>
    <w:rsid w:val="00586B94"/>
    <w:rsid w:val="00587BDF"/>
    <w:rsid w:val="00590A85"/>
    <w:rsid w:val="00590E44"/>
    <w:rsid w:val="00591542"/>
    <w:rsid w:val="0059246A"/>
    <w:rsid w:val="00593372"/>
    <w:rsid w:val="005937D6"/>
    <w:rsid w:val="00593CCE"/>
    <w:rsid w:val="0059424E"/>
    <w:rsid w:val="00594617"/>
    <w:rsid w:val="00594D99"/>
    <w:rsid w:val="00596709"/>
    <w:rsid w:val="00596964"/>
    <w:rsid w:val="005A0336"/>
    <w:rsid w:val="005A1C6B"/>
    <w:rsid w:val="005A1EEE"/>
    <w:rsid w:val="005A2017"/>
    <w:rsid w:val="005A20C2"/>
    <w:rsid w:val="005A21D5"/>
    <w:rsid w:val="005A2778"/>
    <w:rsid w:val="005A4B0A"/>
    <w:rsid w:val="005B1B18"/>
    <w:rsid w:val="005B1D30"/>
    <w:rsid w:val="005B2783"/>
    <w:rsid w:val="005B3145"/>
    <w:rsid w:val="005B3640"/>
    <w:rsid w:val="005B3B5E"/>
    <w:rsid w:val="005C0CDF"/>
    <w:rsid w:val="005C20A1"/>
    <w:rsid w:val="005C21C9"/>
    <w:rsid w:val="005C24B3"/>
    <w:rsid w:val="005C409F"/>
    <w:rsid w:val="005C45DF"/>
    <w:rsid w:val="005C6329"/>
    <w:rsid w:val="005C70DD"/>
    <w:rsid w:val="005C75C0"/>
    <w:rsid w:val="005C7A13"/>
    <w:rsid w:val="005D1E04"/>
    <w:rsid w:val="005D2368"/>
    <w:rsid w:val="005D293C"/>
    <w:rsid w:val="005D29F8"/>
    <w:rsid w:val="005D2B31"/>
    <w:rsid w:val="005D5032"/>
    <w:rsid w:val="005D7060"/>
    <w:rsid w:val="005E0CF3"/>
    <w:rsid w:val="005E1E53"/>
    <w:rsid w:val="005E441A"/>
    <w:rsid w:val="005E46FF"/>
    <w:rsid w:val="005E488B"/>
    <w:rsid w:val="005E6337"/>
    <w:rsid w:val="005F039C"/>
    <w:rsid w:val="005F1320"/>
    <w:rsid w:val="005F1F16"/>
    <w:rsid w:val="005F2364"/>
    <w:rsid w:val="005F2626"/>
    <w:rsid w:val="005F57E9"/>
    <w:rsid w:val="005F5FE3"/>
    <w:rsid w:val="005F683E"/>
    <w:rsid w:val="005F71B6"/>
    <w:rsid w:val="005F7C86"/>
    <w:rsid w:val="00600AB3"/>
    <w:rsid w:val="00601BA9"/>
    <w:rsid w:val="00602771"/>
    <w:rsid w:val="00602887"/>
    <w:rsid w:val="00603C80"/>
    <w:rsid w:val="00604F5F"/>
    <w:rsid w:val="00605A67"/>
    <w:rsid w:val="00606316"/>
    <w:rsid w:val="00610EE9"/>
    <w:rsid w:val="0061197E"/>
    <w:rsid w:val="00611A0C"/>
    <w:rsid w:val="00612BB0"/>
    <w:rsid w:val="00613516"/>
    <w:rsid w:val="00613B1B"/>
    <w:rsid w:val="00614C51"/>
    <w:rsid w:val="00614D90"/>
    <w:rsid w:val="006170B5"/>
    <w:rsid w:val="0061714F"/>
    <w:rsid w:val="0061764F"/>
    <w:rsid w:val="00617B42"/>
    <w:rsid w:val="00617BFD"/>
    <w:rsid w:val="00617C8A"/>
    <w:rsid w:val="00617D30"/>
    <w:rsid w:val="006206E2"/>
    <w:rsid w:val="00622BA9"/>
    <w:rsid w:val="00624D82"/>
    <w:rsid w:val="00625410"/>
    <w:rsid w:val="0062598A"/>
    <w:rsid w:val="00627A04"/>
    <w:rsid w:val="00630405"/>
    <w:rsid w:val="0063070F"/>
    <w:rsid w:val="00631648"/>
    <w:rsid w:val="006319C1"/>
    <w:rsid w:val="006320C2"/>
    <w:rsid w:val="006339E7"/>
    <w:rsid w:val="006340B8"/>
    <w:rsid w:val="00634D5E"/>
    <w:rsid w:val="0063540B"/>
    <w:rsid w:val="00635464"/>
    <w:rsid w:val="00636056"/>
    <w:rsid w:val="00636096"/>
    <w:rsid w:val="006363C0"/>
    <w:rsid w:val="006368FA"/>
    <w:rsid w:val="00637048"/>
    <w:rsid w:val="00637433"/>
    <w:rsid w:val="00637820"/>
    <w:rsid w:val="006408AB"/>
    <w:rsid w:val="00640CE3"/>
    <w:rsid w:val="0064169E"/>
    <w:rsid w:val="0064211D"/>
    <w:rsid w:val="00642F6A"/>
    <w:rsid w:val="00643DE7"/>
    <w:rsid w:val="00644193"/>
    <w:rsid w:val="00644481"/>
    <w:rsid w:val="0064522C"/>
    <w:rsid w:val="006464EE"/>
    <w:rsid w:val="00646904"/>
    <w:rsid w:val="00650D48"/>
    <w:rsid w:val="006528D5"/>
    <w:rsid w:val="00653A21"/>
    <w:rsid w:val="00654E3A"/>
    <w:rsid w:val="00655300"/>
    <w:rsid w:val="00656502"/>
    <w:rsid w:val="00656684"/>
    <w:rsid w:val="00656F36"/>
    <w:rsid w:val="0065755F"/>
    <w:rsid w:val="0066126F"/>
    <w:rsid w:val="006628B6"/>
    <w:rsid w:val="00663364"/>
    <w:rsid w:val="006639E7"/>
    <w:rsid w:val="00663F04"/>
    <w:rsid w:val="0066436D"/>
    <w:rsid w:val="00665849"/>
    <w:rsid w:val="006678F4"/>
    <w:rsid w:val="006721F3"/>
    <w:rsid w:val="006723ED"/>
    <w:rsid w:val="0067367C"/>
    <w:rsid w:val="00675D2B"/>
    <w:rsid w:val="00675EA8"/>
    <w:rsid w:val="00677EC8"/>
    <w:rsid w:val="00681724"/>
    <w:rsid w:val="00683524"/>
    <w:rsid w:val="00684223"/>
    <w:rsid w:val="00685007"/>
    <w:rsid w:val="00685372"/>
    <w:rsid w:val="00685B27"/>
    <w:rsid w:val="006869D8"/>
    <w:rsid w:val="00686A44"/>
    <w:rsid w:val="0068721E"/>
    <w:rsid w:val="0069030A"/>
    <w:rsid w:val="00690A9B"/>
    <w:rsid w:val="00692D92"/>
    <w:rsid w:val="00693E1A"/>
    <w:rsid w:val="006943AA"/>
    <w:rsid w:val="00694A97"/>
    <w:rsid w:val="00694AC9"/>
    <w:rsid w:val="00695687"/>
    <w:rsid w:val="00695FA0"/>
    <w:rsid w:val="00695FCD"/>
    <w:rsid w:val="006970EB"/>
    <w:rsid w:val="00697860"/>
    <w:rsid w:val="006A00A4"/>
    <w:rsid w:val="006A0D06"/>
    <w:rsid w:val="006A159D"/>
    <w:rsid w:val="006A16E5"/>
    <w:rsid w:val="006A212E"/>
    <w:rsid w:val="006A24B4"/>
    <w:rsid w:val="006A28CD"/>
    <w:rsid w:val="006A2D45"/>
    <w:rsid w:val="006A3287"/>
    <w:rsid w:val="006A433C"/>
    <w:rsid w:val="006A4586"/>
    <w:rsid w:val="006A46C4"/>
    <w:rsid w:val="006A471D"/>
    <w:rsid w:val="006A486B"/>
    <w:rsid w:val="006A49F1"/>
    <w:rsid w:val="006A4CDA"/>
    <w:rsid w:val="006A513E"/>
    <w:rsid w:val="006A57FB"/>
    <w:rsid w:val="006A64DB"/>
    <w:rsid w:val="006A6CB0"/>
    <w:rsid w:val="006A6D00"/>
    <w:rsid w:val="006A7194"/>
    <w:rsid w:val="006B1582"/>
    <w:rsid w:val="006B18C2"/>
    <w:rsid w:val="006B312A"/>
    <w:rsid w:val="006B39FF"/>
    <w:rsid w:val="006B3EC8"/>
    <w:rsid w:val="006B4A4D"/>
    <w:rsid w:val="006B4BF2"/>
    <w:rsid w:val="006B6BAE"/>
    <w:rsid w:val="006B7954"/>
    <w:rsid w:val="006B7C97"/>
    <w:rsid w:val="006C0D30"/>
    <w:rsid w:val="006C2D9A"/>
    <w:rsid w:val="006C33A8"/>
    <w:rsid w:val="006C590B"/>
    <w:rsid w:val="006C60A6"/>
    <w:rsid w:val="006D12C1"/>
    <w:rsid w:val="006D16A9"/>
    <w:rsid w:val="006D16C9"/>
    <w:rsid w:val="006D1843"/>
    <w:rsid w:val="006D28B2"/>
    <w:rsid w:val="006D2EB4"/>
    <w:rsid w:val="006D2EFE"/>
    <w:rsid w:val="006D3619"/>
    <w:rsid w:val="006D3B35"/>
    <w:rsid w:val="006D3C24"/>
    <w:rsid w:val="006D7130"/>
    <w:rsid w:val="006D7BAF"/>
    <w:rsid w:val="006D7D05"/>
    <w:rsid w:val="006D7E6D"/>
    <w:rsid w:val="006E1061"/>
    <w:rsid w:val="006E30F0"/>
    <w:rsid w:val="006E4A1F"/>
    <w:rsid w:val="006E5ED3"/>
    <w:rsid w:val="006E673A"/>
    <w:rsid w:val="006E6CCB"/>
    <w:rsid w:val="006E7663"/>
    <w:rsid w:val="006F17F6"/>
    <w:rsid w:val="006F3B3D"/>
    <w:rsid w:val="006F5069"/>
    <w:rsid w:val="006F57A2"/>
    <w:rsid w:val="006F5B34"/>
    <w:rsid w:val="006F627D"/>
    <w:rsid w:val="006F6AEC"/>
    <w:rsid w:val="006F736E"/>
    <w:rsid w:val="00701659"/>
    <w:rsid w:val="00702802"/>
    <w:rsid w:val="007035A8"/>
    <w:rsid w:val="00704202"/>
    <w:rsid w:val="00704704"/>
    <w:rsid w:val="00704A62"/>
    <w:rsid w:val="00704B18"/>
    <w:rsid w:val="0070630B"/>
    <w:rsid w:val="007065C5"/>
    <w:rsid w:val="00707B21"/>
    <w:rsid w:val="007105B4"/>
    <w:rsid w:val="00710DC9"/>
    <w:rsid w:val="00711941"/>
    <w:rsid w:val="00711EF9"/>
    <w:rsid w:val="0071214B"/>
    <w:rsid w:val="007123BD"/>
    <w:rsid w:val="007128F3"/>
    <w:rsid w:val="0071421B"/>
    <w:rsid w:val="00714BE5"/>
    <w:rsid w:val="00715507"/>
    <w:rsid w:val="007159F9"/>
    <w:rsid w:val="0071659E"/>
    <w:rsid w:val="00717846"/>
    <w:rsid w:val="00720DB2"/>
    <w:rsid w:val="007216AD"/>
    <w:rsid w:val="00722660"/>
    <w:rsid w:val="00722725"/>
    <w:rsid w:val="00722D94"/>
    <w:rsid w:val="00724962"/>
    <w:rsid w:val="00725F3B"/>
    <w:rsid w:val="00726679"/>
    <w:rsid w:val="007266BC"/>
    <w:rsid w:val="00727F9A"/>
    <w:rsid w:val="0073079C"/>
    <w:rsid w:val="00730BB8"/>
    <w:rsid w:val="00731A78"/>
    <w:rsid w:val="0073286B"/>
    <w:rsid w:val="00732B92"/>
    <w:rsid w:val="00733497"/>
    <w:rsid w:val="00734208"/>
    <w:rsid w:val="0073533E"/>
    <w:rsid w:val="00735447"/>
    <w:rsid w:val="0073558D"/>
    <w:rsid w:val="00735DF9"/>
    <w:rsid w:val="007361B8"/>
    <w:rsid w:val="00737227"/>
    <w:rsid w:val="0073727C"/>
    <w:rsid w:val="00737F73"/>
    <w:rsid w:val="00742651"/>
    <w:rsid w:val="007443DB"/>
    <w:rsid w:val="00746DD3"/>
    <w:rsid w:val="0074796C"/>
    <w:rsid w:val="00747A2B"/>
    <w:rsid w:val="0075019E"/>
    <w:rsid w:val="00750607"/>
    <w:rsid w:val="007506BD"/>
    <w:rsid w:val="007512BD"/>
    <w:rsid w:val="0075367C"/>
    <w:rsid w:val="007539AB"/>
    <w:rsid w:val="007539F7"/>
    <w:rsid w:val="00754018"/>
    <w:rsid w:val="0075483C"/>
    <w:rsid w:val="0075486E"/>
    <w:rsid w:val="0075490F"/>
    <w:rsid w:val="007555F2"/>
    <w:rsid w:val="00755712"/>
    <w:rsid w:val="00756A0A"/>
    <w:rsid w:val="00756C6B"/>
    <w:rsid w:val="00757049"/>
    <w:rsid w:val="007575E6"/>
    <w:rsid w:val="007579BA"/>
    <w:rsid w:val="00762870"/>
    <w:rsid w:val="00762C16"/>
    <w:rsid w:val="007633E2"/>
    <w:rsid w:val="00765188"/>
    <w:rsid w:val="007662D3"/>
    <w:rsid w:val="00766ADB"/>
    <w:rsid w:val="00766FEF"/>
    <w:rsid w:val="007701EF"/>
    <w:rsid w:val="00773DDC"/>
    <w:rsid w:val="00774678"/>
    <w:rsid w:val="0077485D"/>
    <w:rsid w:val="00775D69"/>
    <w:rsid w:val="00775E47"/>
    <w:rsid w:val="0077642A"/>
    <w:rsid w:val="00780206"/>
    <w:rsid w:val="00780D16"/>
    <w:rsid w:val="0078150F"/>
    <w:rsid w:val="00781F67"/>
    <w:rsid w:val="00782DAB"/>
    <w:rsid w:val="007851DB"/>
    <w:rsid w:val="00785B79"/>
    <w:rsid w:val="00785E2D"/>
    <w:rsid w:val="0078764F"/>
    <w:rsid w:val="007877BA"/>
    <w:rsid w:val="00787FD2"/>
    <w:rsid w:val="007902B8"/>
    <w:rsid w:val="00791E2F"/>
    <w:rsid w:val="00793800"/>
    <w:rsid w:val="00794CFF"/>
    <w:rsid w:val="00795B5C"/>
    <w:rsid w:val="00795D63"/>
    <w:rsid w:val="00796541"/>
    <w:rsid w:val="00797354"/>
    <w:rsid w:val="007A0400"/>
    <w:rsid w:val="007A0839"/>
    <w:rsid w:val="007A0CDF"/>
    <w:rsid w:val="007A48E5"/>
    <w:rsid w:val="007A53CF"/>
    <w:rsid w:val="007A58AB"/>
    <w:rsid w:val="007A66E5"/>
    <w:rsid w:val="007B1FC4"/>
    <w:rsid w:val="007B21D9"/>
    <w:rsid w:val="007B438B"/>
    <w:rsid w:val="007B43FE"/>
    <w:rsid w:val="007B5C18"/>
    <w:rsid w:val="007B6CE4"/>
    <w:rsid w:val="007C059A"/>
    <w:rsid w:val="007C0BB9"/>
    <w:rsid w:val="007C0DDF"/>
    <w:rsid w:val="007C174F"/>
    <w:rsid w:val="007C26A2"/>
    <w:rsid w:val="007C5025"/>
    <w:rsid w:val="007C6680"/>
    <w:rsid w:val="007C673A"/>
    <w:rsid w:val="007C6E9A"/>
    <w:rsid w:val="007C73C9"/>
    <w:rsid w:val="007D04A3"/>
    <w:rsid w:val="007D136B"/>
    <w:rsid w:val="007D18F0"/>
    <w:rsid w:val="007D2585"/>
    <w:rsid w:val="007D27F5"/>
    <w:rsid w:val="007D38D7"/>
    <w:rsid w:val="007D3D92"/>
    <w:rsid w:val="007D484D"/>
    <w:rsid w:val="007D4F86"/>
    <w:rsid w:val="007D4FF4"/>
    <w:rsid w:val="007D50E6"/>
    <w:rsid w:val="007D5353"/>
    <w:rsid w:val="007D5732"/>
    <w:rsid w:val="007D6395"/>
    <w:rsid w:val="007D6CCB"/>
    <w:rsid w:val="007D7B4E"/>
    <w:rsid w:val="007D7D38"/>
    <w:rsid w:val="007D7DDB"/>
    <w:rsid w:val="007E019B"/>
    <w:rsid w:val="007E02A3"/>
    <w:rsid w:val="007E3FF0"/>
    <w:rsid w:val="007E4890"/>
    <w:rsid w:val="007E52BA"/>
    <w:rsid w:val="007E552B"/>
    <w:rsid w:val="007E5648"/>
    <w:rsid w:val="007E7E57"/>
    <w:rsid w:val="007F1397"/>
    <w:rsid w:val="007F1CF3"/>
    <w:rsid w:val="007F2574"/>
    <w:rsid w:val="007F25B7"/>
    <w:rsid w:val="007F26E6"/>
    <w:rsid w:val="007F3303"/>
    <w:rsid w:val="007F366F"/>
    <w:rsid w:val="007F44D0"/>
    <w:rsid w:val="007F44EB"/>
    <w:rsid w:val="007F5498"/>
    <w:rsid w:val="007F55A7"/>
    <w:rsid w:val="007F5D75"/>
    <w:rsid w:val="007F669C"/>
    <w:rsid w:val="007F78F8"/>
    <w:rsid w:val="00800111"/>
    <w:rsid w:val="00802422"/>
    <w:rsid w:val="00802DD8"/>
    <w:rsid w:val="00803835"/>
    <w:rsid w:val="008039AE"/>
    <w:rsid w:val="00804958"/>
    <w:rsid w:val="00811419"/>
    <w:rsid w:val="008129F4"/>
    <w:rsid w:val="0081430C"/>
    <w:rsid w:val="0081459A"/>
    <w:rsid w:val="00814E4E"/>
    <w:rsid w:val="00814E6E"/>
    <w:rsid w:val="00816652"/>
    <w:rsid w:val="00816F4E"/>
    <w:rsid w:val="0081769B"/>
    <w:rsid w:val="00817A43"/>
    <w:rsid w:val="00817B13"/>
    <w:rsid w:val="00817B2D"/>
    <w:rsid w:val="00817C30"/>
    <w:rsid w:val="0082022C"/>
    <w:rsid w:val="00821925"/>
    <w:rsid w:val="00822F7A"/>
    <w:rsid w:val="00823589"/>
    <w:rsid w:val="00824774"/>
    <w:rsid w:val="00831BD1"/>
    <w:rsid w:val="008329CC"/>
    <w:rsid w:val="008339C7"/>
    <w:rsid w:val="00833A57"/>
    <w:rsid w:val="00834B8B"/>
    <w:rsid w:val="00835BB1"/>
    <w:rsid w:val="00835EF5"/>
    <w:rsid w:val="0084012E"/>
    <w:rsid w:val="00841F89"/>
    <w:rsid w:val="00842931"/>
    <w:rsid w:val="008444C1"/>
    <w:rsid w:val="0084479C"/>
    <w:rsid w:val="00845539"/>
    <w:rsid w:val="008455B2"/>
    <w:rsid w:val="00845D84"/>
    <w:rsid w:val="008465D8"/>
    <w:rsid w:val="00847E38"/>
    <w:rsid w:val="008504B7"/>
    <w:rsid w:val="00850C67"/>
    <w:rsid w:val="00851C07"/>
    <w:rsid w:val="00852013"/>
    <w:rsid w:val="008526B4"/>
    <w:rsid w:val="0085376C"/>
    <w:rsid w:val="00853B9D"/>
    <w:rsid w:val="008543BE"/>
    <w:rsid w:val="0085445E"/>
    <w:rsid w:val="00856855"/>
    <w:rsid w:val="008602CE"/>
    <w:rsid w:val="008617EE"/>
    <w:rsid w:val="0086188F"/>
    <w:rsid w:val="00862CF5"/>
    <w:rsid w:val="008639AA"/>
    <w:rsid w:val="00863B05"/>
    <w:rsid w:val="0086451B"/>
    <w:rsid w:val="00864E1A"/>
    <w:rsid w:val="00864F0D"/>
    <w:rsid w:val="008651F5"/>
    <w:rsid w:val="00865565"/>
    <w:rsid w:val="00865C26"/>
    <w:rsid w:val="00866AEC"/>
    <w:rsid w:val="00867DFE"/>
    <w:rsid w:val="008702DA"/>
    <w:rsid w:val="00870E7D"/>
    <w:rsid w:val="0087156B"/>
    <w:rsid w:val="00872907"/>
    <w:rsid w:val="008730E4"/>
    <w:rsid w:val="00874506"/>
    <w:rsid w:val="00874637"/>
    <w:rsid w:val="0087472D"/>
    <w:rsid w:val="008749CF"/>
    <w:rsid w:val="00874BE9"/>
    <w:rsid w:val="008761E0"/>
    <w:rsid w:val="00877F30"/>
    <w:rsid w:val="008809D5"/>
    <w:rsid w:val="00881155"/>
    <w:rsid w:val="00881527"/>
    <w:rsid w:val="00881908"/>
    <w:rsid w:val="00881EFB"/>
    <w:rsid w:val="00882505"/>
    <w:rsid w:val="00883605"/>
    <w:rsid w:val="00884591"/>
    <w:rsid w:val="00885841"/>
    <w:rsid w:val="0088623F"/>
    <w:rsid w:val="008866B5"/>
    <w:rsid w:val="008879C9"/>
    <w:rsid w:val="008915A1"/>
    <w:rsid w:val="00891DC6"/>
    <w:rsid w:val="00892406"/>
    <w:rsid w:val="008929F0"/>
    <w:rsid w:val="00892F21"/>
    <w:rsid w:val="008936C4"/>
    <w:rsid w:val="0089451A"/>
    <w:rsid w:val="0089459E"/>
    <w:rsid w:val="00896664"/>
    <w:rsid w:val="00897600"/>
    <w:rsid w:val="008A04DB"/>
    <w:rsid w:val="008A05C9"/>
    <w:rsid w:val="008A13B3"/>
    <w:rsid w:val="008A24F3"/>
    <w:rsid w:val="008A2618"/>
    <w:rsid w:val="008A3576"/>
    <w:rsid w:val="008A4104"/>
    <w:rsid w:val="008A4FFA"/>
    <w:rsid w:val="008A63A2"/>
    <w:rsid w:val="008A65FA"/>
    <w:rsid w:val="008A6CC7"/>
    <w:rsid w:val="008A7105"/>
    <w:rsid w:val="008B376A"/>
    <w:rsid w:val="008B3861"/>
    <w:rsid w:val="008B43E1"/>
    <w:rsid w:val="008B44BA"/>
    <w:rsid w:val="008B62C2"/>
    <w:rsid w:val="008B62F0"/>
    <w:rsid w:val="008B65EC"/>
    <w:rsid w:val="008B699C"/>
    <w:rsid w:val="008B7052"/>
    <w:rsid w:val="008C017E"/>
    <w:rsid w:val="008C02C7"/>
    <w:rsid w:val="008C0F25"/>
    <w:rsid w:val="008C1269"/>
    <w:rsid w:val="008C148A"/>
    <w:rsid w:val="008C3725"/>
    <w:rsid w:val="008C493E"/>
    <w:rsid w:val="008C56E4"/>
    <w:rsid w:val="008C5FEB"/>
    <w:rsid w:val="008C691C"/>
    <w:rsid w:val="008C7255"/>
    <w:rsid w:val="008C7482"/>
    <w:rsid w:val="008C772F"/>
    <w:rsid w:val="008C7E78"/>
    <w:rsid w:val="008D21A8"/>
    <w:rsid w:val="008D35C0"/>
    <w:rsid w:val="008D4926"/>
    <w:rsid w:val="008D52DB"/>
    <w:rsid w:val="008D62C0"/>
    <w:rsid w:val="008D65EB"/>
    <w:rsid w:val="008D6B0A"/>
    <w:rsid w:val="008D6C02"/>
    <w:rsid w:val="008E10D8"/>
    <w:rsid w:val="008E27CF"/>
    <w:rsid w:val="008E5579"/>
    <w:rsid w:val="008E612B"/>
    <w:rsid w:val="008E62D5"/>
    <w:rsid w:val="008E764F"/>
    <w:rsid w:val="008F0664"/>
    <w:rsid w:val="008F0ACA"/>
    <w:rsid w:val="008F0CDB"/>
    <w:rsid w:val="008F120B"/>
    <w:rsid w:val="008F180E"/>
    <w:rsid w:val="008F2A0F"/>
    <w:rsid w:val="008F30D2"/>
    <w:rsid w:val="008F4777"/>
    <w:rsid w:val="008F4794"/>
    <w:rsid w:val="008F50AE"/>
    <w:rsid w:val="008F685F"/>
    <w:rsid w:val="008F6964"/>
    <w:rsid w:val="008F70B2"/>
    <w:rsid w:val="008F71CF"/>
    <w:rsid w:val="0090166C"/>
    <w:rsid w:val="00901B82"/>
    <w:rsid w:val="0090221C"/>
    <w:rsid w:val="0090253F"/>
    <w:rsid w:val="00902C95"/>
    <w:rsid w:val="00903348"/>
    <w:rsid w:val="00903B1E"/>
    <w:rsid w:val="00903ED1"/>
    <w:rsid w:val="00904626"/>
    <w:rsid w:val="00904B09"/>
    <w:rsid w:val="00905106"/>
    <w:rsid w:val="00906452"/>
    <w:rsid w:val="00906583"/>
    <w:rsid w:val="00906BB2"/>
    <w:rsid w:val="009073E5"/>
    <w:rsid w:val="009101C3"/>
    <w:rsid w:val="00910B91"/>
    <w:rsid w:val="0091177A"/>
    <w:rsid w:val="00911792"/>
    <w:rsid w:val="00911E3E"/>
    <w:rsid w:val="00912B19"/>
    <w:rsid w:val="009149E5"/>
    <w:rsid w:val="00921B2F"/>
    <w:rsid w:val="00922F84"/>
    <w:rsid w:val="0092373C"/>
    <w:rsid w:val="0092448B"/>
    <w:rsid w:val="00924639"/>
    <w:rsid w:val="00925D4F"/>
    <w:rsid w:val="00925FC7"/>
    <w:rsid w:val="00927623"/>
    <w:rsid w:val="0092792C"/>
    <w:rsid w:val="00927DB4"/>
    <w:rsid w:val="0093107C"/>
    <w:rsid w:val="00933668"/>
    <w:rsid w:val="00933C2D"/>
    <w:rsid w:val="00934990"/>
    <w:rsid w:val="00934A54"/>
    <w:rsid w:val="0093523D"/>
    <w:rsid w:val="0093557C"/>
    <w:rsid w:val="00936D90"/>
    <w:rsid w:val="00937060"/>
    <w:rsid w:val="00940110"/>
    <w:rsid w:val="009420FA"/>
    <w:rsid w:val="00942BC8"/>
    <w:rsid w:val="00944295"/>
    <w:rsid w:val="00944E5B"/>
    <w:rsid w:val="00944EF1"/>
    <w:rsid w:val="009459A6"/>
    <w:rsid w:val="00945D5B"/>
    <w:rsid w:val="00946F59"/>
    <w:rsid w:val="009476DC"/>
    <w:rsid w:val="009478BC"/>
    <w:rsid w:val="00947EE6"/>
    <w:rsid w:val="009502DD"/>
    <w:rsid w:val="00952082"/>
    <w:rsid w:val="00952913"/>
    <w:rsid w:val="0095428F"/>
    <w:rsid w:val="00955F76"/>
    <w:rsid w:val="0095729F"/>
    <w:rsid w:val="00957370"/>
    <w:rsid w:val="00961DDB"/>
    <w:rsid w:val="00962F54"/>
    <w:rsid w:val="009636C0"/>
    <w:rsid w:val="00963F15"/>
    <w:rsid w:val="00965811"/>
    <w:rsid w:val="00970876"/>
    <w:rsid w:val="009713AD"/>
    <w:rsid w:val="009718DE"/>
    <w:rsid w:val="009723DE"/>
    <w:rsid w:val="0097248E"/>
    <w:rsid w:val="00972A37"/>
    <w:rsid w:val="00974025"/>
    <w:rsid w:val="00974E2A"/>
    <w:rsid w:val="00976991"/>
    <w:rsid w:val="00977382"/>
    <w:rsid w:val="00977CDF"/>
    <w:rsid w:val="009808A0"/>
    <w:rsid w:val="00982AF0"/>
    <w:rsid w:val="00982BC3"/>
    <w:rsid w:val="00982EB4"/>
    <w:rsid w:val="00983D53"/>
    <w:rsid w:val="00985269"/>
    <w:rsid w:val="009854D7"/>
    <w:rsid w:val="0098655C"/>
    <w:rsid w:val="00986AA5"/>
    <w:rsid w:val="009876BC"/>
    <w:rsid w:val="00992462"/>
    <w:rsid w:val="009926F8"/>
    <w:rsid w:val="009953AE"/>
    <w:rsid w:val="0099558B"/>
    <w:rsid w:val="0099611F"/>
    <w:rsid w:val="00996EBF"/>
    <w:rsid w:val="00997F55"/>
    <w:rsid w:val="009A0228"/>
    <w:rsid w:val="009A040C"/>
    <w:rsid w:val="009A10E3"/>
    <w:rsid w:val="009A16D9"/>
    <w:rsid w:val="009A26F6"/>
    <w:rsid w:val="009A270F"/>
    <w:rsid w:val="009A4100"/>
    <w:rsid w:val="009A42B3"/>
    <w:rsid w:val="009A47B6"/>
    <w:rsid w:val="009A505E"/>
    <w:rsid w:val="009A6BAB"/>
    <w:rsid w:val="009A7812"/>
    <w:rsid w:val="009A7AC1"/>
    <w:rsid w:val="009B0750"/>
    <w:rsid w:val="009B0A9B"/>
    <w:rsid w:val="009B0BED"/>
    <w:rsid w:val="009B126E"/>
    <w:rsid w:val="009B133C"/>
    <w:rsid w:val="009B2030"/>
    <w:rsid w:val="009B2124"/>
    <w:rsid w:val="009B3691"/>
    <w:rsid w:val="009B3757"/>
    <w:rsid w:val="009B4E9D"/>
    <w:rsid w:val="009B5133"/>
    <w:rsid w:val="009B5C1B"/>
    <w:rsid w:val="009B6C26"/>
    <w:rsid w:val="009B79AF"/>
    <w:rsid w:val="009C181C"/>
    <w:rsid w:val="009C1AF6"/>
    <w:rsid w:val="009C1C6B"/>
    <w:rsid w:val="009C1F02"/>
    <w:rsid w:val="009C221A"/>
    <w:rsid w:val="009C2447"/>
    <w:rsid w:val="009C2BF9"/>
    <w:rsid w:val="009C2C11"/>
    <w:rsid w:val="009C7270"/>
    <w:rsid w:val="009C7954"/>
    <w:rsid w:val="009D01DE"/>
    <w:rsid w:val="009D06BB"/>
    <w:rsid w:val="009D0DF6"/>
    <w:rsid w:val="009D1700"/>
    <w:rsid w:val="009D1C5A"/>
    <w:rsid w:val="009D33E9"/>
    <w:rsid w:val="009D47AF"/>
    <w:rsid w:val="009D5E55"/>
    <w:rsid w:val="009D6201"/>
    <w:rsid w:val="009D76CC"/>
    <w:rsid w:val="009D7A17"/>
    <w:rsid w:val="009E0902"/>
    <w:rsid w:val="009E1425"/>
    <w:rsid w:val="009E1866"/>
    <w:rsid w:val="009E1EB9"/>
    <w:rsid w:val="009E22D7"/>
    <w:rsid w:val="009E483F"/>
    <w:rsid w:val="009E6905"/>
    <w:rsid w:val="009E6D04"/>
    <w:rsid w:val="009E7A15"/>
    <w:rsid w:val="009E7CF8"/>
    <w:rsid w:val="009F168A"/>
    <w:rsid w:val="009F1AB0"/>
    <w:rsid w:val="009F1D3F"/>
    <w:rsid w:val="009F1E3A"/>
    <w:rsid w:val="009F1FFC"/>
    <w:rsid w:val="009F3477"/>
    <w:rsid w:val="009F430C"/>
    <w:rsid w:val="009F45FC"/>
    <w:rsid w:val="009F504F"/>
    <w:rsid w:val="009F5569"/>
    <w:rsid w:val="009F5598"/>
    <w:rsid w:val="009F5B07"/>
    <w:rsid w:val="009F7585"/>
    <w:rsid w:val="00A002DA"/>
    <w:rsid w:val="00A00DED"/>
    <w:rsid w:val="00A032B7"/>
    <w:rsid w:val="00A035A7"/>
    <w:rsid w:val="00A036E8"/>
    <w:rsid w:val="00A05DBE"/>
    <w:rsid w:val="00A068A9"/>
    <w:rsid w:val="00A07743"/>
    <w:rsid w:val="00A10FC4"/>
    <w:rsid w:val="00A1241E"/>
    <w:rsid w:val="00A12931"/>
    <w:rsid w:val="00A12AB5"/>
    <w:rsid w:val="00A12CC5"/>
    <w:rsid w:val="00A13EDC"/>
    <w:rsid w:val="00A149AC"/>
    <w:rsid w:val="00A152B2"/>
    <w:rsid w:val="00A16195"/>
    <w:rsid w:val="00A16AE5"/>
    <w:rsid w:val="00A16BE0"/>
    <w:rsid w:val="00A213B4"/>
    <w:rsid w:val="00A22AFB"/>
    <w:rsid w:val="00A236FB"/>
    <w:rsid w:val="00A26C6D"/>
    <w:rsid w:val="00A3009E"/>
    <w:rsid w:val="00A30992"/>
    <w:rsid w:val="00A34794"/>
    <w:rsid w:val="00A36BB7"/>
    <w:rsid w:val="00A40E81"/>
    <w:rsid w:val="00A410C5"/>
    <w:rsid w:val="00A42511"/>
    <w:rsid w:val="00A44B73"/>
    <w:rsid w:val="00A44F2B"/>
    <w:rsid w:val="00A45B56"/>
    <w:rsid w:val="00A45DAC"/>
    <w:rsid w:val="00A45FFA"/>
    <w:rsid w:val="00A4645F"/>
    <w:rsid w:val="00A50941"/>
    <w:rsid w:val="00A50A49"/>
    <w:rsid w:val="00A50D6B"/>
    <w:rsid w:val="00A5124B"/>
    <w:rsid w:val="00A51580"/>
    <w:rsid w:val="00A515FA"/>
    <w:rsid w:val="00A524E5"/>
    <w:rsid w:val="00A53C0E"/>
    <w:rsid w:val="00A54AA7"/>
    <w:rsid w:val="00A54CF4"/>
    <w:rsid w:val="00A552AC"/>
    <w:rsid w:val="00A55A8A"/>
    <w:rsid w:val="00A55DF3"/>
    <w:rsid w:val="00A5666F"/>
    <w:rsid w:val="00A56B8A"/>
    <w:rsid w:val="00A5722B"/>
    <w:rsid w:val="00A60365"/>
    <w:rsid w:val="00A60B7A"/>
    <w:rsid w:val="00A60C8F"/>
    <w:rsid w:val="00A60E22"/>
    <w:rsid w:val="00A61006"/>
    <w:rsid w:val="00A622EB"/>
    <w:rsid w:val="00A629E4"/>
    <w:rsid w:val="00A62D3D"/>
    <w:rsid w:val="00A637DD"/>
    <w:rsid w:val="00A63861"/>
    <w:rsid w:val="00A64BFB"/>
    <w:rsid w:val="00A6637F"/>
    <w:rsid w:val="00A67787"/>
    <w:rsid w:val="00A70729"/>
    <w:rsid w:val="00A71006"/>
    <w:rsid w:val="00A7207C"/>
    <w:rsid w:val="00A737AA"/>
    <w:rsid w:val="00A7471A"/>
    <w:rsid w:val="00A74E64"/>
    <w:rsid w:val="00A7620E"/>
    <w:rsid w:val="00A801F8"/>
    <w:rsid w:val="00A80C2A"/>
    <w:rsid w:val="00A80E69"/>
    <w:rsid w:val="00A80FE8"/>
    <w:rsid w:val="00A810F6"/>
    <w:rsid w:val="00A823C3"/>
    <w:rsid w:val="00A83401"/>
    <w:rsid w:val="00A840CE"/>
    <w:rsid w:val="00A847D2"/>
    <w:rsid w:val="00A8538E"/>
    <w:rsid w:val="00A858B1"/>
    <w:rsid w:val="00A86EC9"/>
    <w:rsid w:val="00A8741A"/>
    <w:rsid w:val="00A8774B"/>
    <w:rsid w:val="00A90932"/>
    <w:rsid w:val="00A90B65"/>
    <w:rsid w:val="00A92FD9"/>
    <w:rsid w:val="00A93306"/>
    <w:rsid w:val="00A93937"/>
    <w:rsid w:val="00A93E8B"/>
    <w:rsid w:val="00A93FBA"/>
    <w:rsid w:val="00A94266"/>
    <w:rsid w:val="00A94549"/>
    <w:rsid w:val="00A94954"/>
    <w:rsid w:val="00A94A31"/>
    <w:rsid w:val="00A9512E"/>
    <w:rsid w:val="00AA0F22"/>
    <w:rsid w:val="00AA0FCF"/>
    <w:rsid w:val="00AA155A"/>
    <w:rsid w:val="00AA1EE9"/>
    <w:rsid w:val="00AA2356"/>
    <w:rsid w:val="00AA27B2"/>
    <w:rsid w:val="00AA3581"/>
    <w:rsid w:val="00AA3BC3"/>
    <w:rsid w:val="00AB1C57"/>
    <w:rsid w:val="00AB25DE"/>
    <w:rsid w:val="00AB2AF2"/>
    <w:rsid w:val="00AB3137"/>
    <w:rsid w:val="00AB5885"/>
    <w:rsid w:val="00AB73DE"/>
    <w:rsid w:val="00AC0E81"/>
    <w:rsid w:val="00AC1678"/>
    <w:rsid w:val="00AC1918"/>
    <w:rsid w:val="00AC1B7D"/>
    <w:rsid w:val="00AC24A6"/>
    <w:rsid w:val="00AC2FDE"/>
    <w:rsid w:val="00AC4778"/>
    <w:rsid w:val="00AC56B9"/>
    <w:rsid w:val="00AC5AED"/>
    <w:rsid w:val="00AC6193"/>
    <w:rsid w:val="00AC6404"/>
    <w:rsid w:val="00AC65E8"/>
    <w:rsid w:val="00AC697D"/>
    <w:rsid w:val="00AC7866"/>
    <w:rsid w:val="00AD126C"/>
    <w:rsid w:val="00AD1414"/>
    <w:rsid w:val="00AD4010"/>
    <w:rsid w:val="00AD4CDE"/>
    <w:rsid w:val="00AD5219"/>
    <w:rsid w:val="00AD642F"/>
    <w:rsid w:val="00AD6B13"/>
    <w:rsid w:val="00AD6CDD"/>
    <w:rsid w:val="00AD6E8A"/>
    <w:rsid w:val="00AE0C02"/>
    <w:rsid w:val="00AE246E"/>
    <w:rsid w:val="00AE3171"/>
    <w:rsid w:val="00AE33A8"/>
    <w:rsid w:val="00AE3541"/>
    <w:rsid w:val="00AE3D45"/>
    <w:rsid w:val="00AE410A"/>
    <w:rsid w:val="00AE46EB"/>
    <w:rsid w:val="00AE6BA7"/>
    <w:rsid w:val="00AF243C"/>
    <w:rsid w:val="00AF32A9"/>
    <w:rsid w:val="00AF36F7"/>
    <w:rsid w:val="00AF3A06"/>
    <w:rsid w:val="00AF47C1"/>
    <w:rsid w:val="00AF5E71"/>
    <w:rsid w:val="00AF630C"/>
    <w:rsid w:val="00AF6E67"/>
    <w:rsid w:val="00B008F4"/>
    <w:rsid w:val="00B01131"/>
    <w:rsid w:val="00B01DA9"/>
    <w:rsid w:val="00B02099"/>
    <w:rsid w:val="00B0230E"/>
    <w:rsid w:val="00B02BA4"/>
    <w:rsid w:val="00B0346C"/>
    <w:rsid w:val="00B035F0"/>
    <w:rsid w:val="00B0428B"/>
    <w:rsid w:val="00B05126"/>
    <w:rsid w:val="00B05127"/>
    <w:rsid w:val="00B05586"/>
    <w:rsid w:val="00B064CD"/>
    <w:rsid w:val="00B0659B"/>
    <w:rsid w:val="00B066E6"/>
    <w:rsid w:val="00B07511"/>
    <w:rsid w:val="00B07B9E"/>
    <w:rsid w:val="00B1040E"/>
    <w:rsid w:val="00B11244"/>
    <w:rsid w:val="00B11707"/>
    <w:rsid w:val="00B131C2"/>
    <w:rsid w:val="00B13835"/>
    <w:rsid w:val="00B143F6"/>
    <w:rsid w:val="00B15E51"/>
    <w:rsid w:val="00B164C0"/>
    <w:rsid w:val="00B16D62"/>
    <w:rsid w:val="00B16E5A"/>
    <w:rsid w:val="00B176ED"/>
    <w:rsid w:val="00B17F71"/>
    <w:rsid w:val="00B20449"/>
    <w:rsid w:val="00B206C0"/>
    <w:rsid w:val="00B2322C"/>
    <w:rsid w:val="00B23DFC"/>
    <w:rsid w:val="00B23E13"/>
    <w:rsid w:val="00B25AB1"/>
    <w:rsid w:val="00B2634E"/>
    <w:rsid w:val="00B26793"/>
    <w:rsid w:val="00B26C29"/>
    <w:rsid w:val="00B26C34"/>
    <w:rsid w:val="00B275E6"/>
    <w:rsid w:val="00B303AB"/>
    <w:rsid w:val="00B30719"/>
    <w:rsid w:val="00B3075A"/>
    <w:rsid w:val="00B307C8"/>
    <w:rsid w:val="00B31626"/>
    <w:rsid w:val="00B31C1E"/>
    <w:rsid w:val="00B332A3"/>
    <w:rsid w:val="00B339C7"/>
    <w:rsid w:val="00B353D7"/>
    <w:rsid w:val="00B377C3"/>
    <w:rsid w:val="00B41605"/>
    <w:rsid w:val="00B41F56"/>
    <w:rsid w:val="00B42251"/>
    <w:rsid w:val="00B422CD"/>
    <w:rsid w:val="00B42446"/>
    <w:rsid w:val="00B426D1"/>
    <w:rsid w:val="00B4364B"/>
    <w:rsid w:val="00B43862"/>
    <w:rsid w:val="00B43942"/>
    <w:rsid w:val="00B44291"/>
    <w:rsid w:val="00B44DF7"/>
    <w:rsid w:val="00B44E5A"/>
    <w:rsid w:val="00B453EA"/>
    <w:rsid w:val="00B454D9"/>
    <w:rsid w:val="00B46BCF"/>
    <w:rsid w:val="00B46FE5"/>
    <w:rsid w:val="00B472D2"/>
    <w:rsid w:val="00B47A6F"/>
    <w:rsid w:val="00B5059D"/>
    <w:rsid w:val="00B5073F"/>
    <w:rsid w:val="00B50CE8"/>
    <w:rsid w:val="00B52CFC"/>
    <w:rsid w:val="00B54E4B"/>
    <w:rsid w:val="00B555A3"/>
    <w:rsid w:val="00B55719"/>
    <w:rsid w:val="00B56C4D"/>
    <w:rsid w:val="00B57B51"/>
    <w:rsid w:val="00B60345"/>
    <w:rsid w:val="00B60907"/>
    <w:rsid w:val="00B60F7F"/>
    <w:rsid w:val="00B65397"/>
    <w:rsid w:val="00B66B76"/>
    <w:rsid w:val="00B674DF"/>
    <w:rsid w:val="00B6776E"/>
    <w:rsid w:val="00B7048B"/>
    <w:rsid w:val="00B7186E"/>
    <w:rsid w:val="00B73151"/>
    <w:rsid w:val="00B73159"/>
    <w:rsid w:val="00B7475F"/>
    <w:rsid w:val="00B74A95"/>
    <w:rsid w:val="00B74AD6"/>
    <w:rsid w:val="00B75235"/>
    <w:rsid w:val="00B75BD1"/>
    <w:rsid w:val="00B803F9"/>
    <w:rsid w:val="00B80662"/>
    <w:rsid w:val="00B80BCD"/>
    <w:rsid w:val="00B80F43"/>
    <w:rsid w:val="00B818CD"/>
    <w:rsid w:val="00B8288C"/>
    <w:rsid w:val="00B83325"/>
    <w:rsid w:val="00B83811"/>
    <w:rsid w:val="00B83AD2"/>
    <w:rsid w:val="00B84E23"/>
    <w:rsid w:val="00B8605E"/>
    <w:rsid w:val="00B866D4"/>
    <w:rsid w:val="00B87A84"/>
    <w:rsid w:val="00B87A96"/>
    <w:rsid w:val="00B87F11"/>
    <w:rsid w:val="00B87FBE"/>
    <w:rsid w:val="00B9071E"/>
    <w:rsid w:val="00B91DB1"/>
    <w:rsid w:val="00B91DF9"/>
    <w:rsid w:val="00B927B0"/>
    <w:rsid w:val="00B928B2"/>
    <w:rsid w:val="00B94A80"/>
    <w:rsid w:val="00B954B8"/>
    <w:rsid w:val="00B95928"/>
    <w:rsid w:val="00B96612"/>
    <w:rsid w:val="00B969DE"/>
    <w:rsid w:val="00B96A8D"/>
    <w:rsid w:val="00B97251"/>
    <w:rsid w:val="00BA074E"/>
    <w:rsid w:val="00BA0AD0"/>
    <w:rsid w:val="00BA0F85"/>
    <w:rsid w:val="00BA370D"/>
    <w:rsid w:val="00BA4927"/>
    <w:rsid w:val="00BA5061"/>
    <w:rsid w:val="00BA5627"/>
    <w:rsid w:val="00BA5D9C"/>
    <w:rsid w:val="00BA64C5"/>
    <w:rsid w:val="00BA680D"/>
    <w:rsid w:val="00BA7529"/>
    <w:rsid w:val="00BA75D0"/>
    <w:rsid w:val="00BA7B5C"/>
    <w:rsid w:val="00BB104C"/>
    <w:rsid w:val="00BB40CE"/>
    <w:rsid w:val="00BB49E9"/>
    <w:rsid w:val="00BB50BC"/>
    <w:rsid w:val="00BB514F"/>
    <w:rsid w:val="00BB5F90"/>
    <w:rsid w:val="00BB6F14"/>
    <w:rsid w:val="00BC02CE"/>
    <w:rsid w:val="00BC1422"/>
    <w:rsid w:val="00BC1F58"/>
    <w:rsid w:val="00BC3869"/>
    <w:rsid w:val="00BC3EAE"/>
    <w:rsid w:val="00BC6487"/>
    <w:rsid w:val="00BC6945"/>
    <w:rsid w:val="00BC7481"/>
    <w:rsid w:val="00BC7BD0"/>
    <w:rsid w:val="00BD1894"/>
    <w:rsid w:val="00BD5446"/>
    <w:rsid w:val="00BD6F28"/>
    <w:rsid w:val="00BD7EAF"/>
    <w:rsid w:val="00BE30D2"/>
    <w:rsid w:val="00BE33D0"/>
    <w:rsid w:val="00BE45F1"/>
    <w:rsid w:val="00BE5397"/>
    <w:rsid w:val="00BE6301"/>
    <w:rsid w:val="00BE655F"/>
    <w:rsid w:val="00BE6621"/>
    <w:rsid w:val="00BE6666"/>
    <w:rsid w:val="00BE6BD5"/>
    <w:rsid w:val="00BE76BC"/>
    <w:rsid w:val="00BE7BF7"/>
    <w:rsid w:val="00BE7E54"/>
    <w:rsid w:val="00BF01DE"/>
    <w:rsid w:val="00BF0A83"/>
    <w:rsid w:val="00BF239B"/>
    <w:rsid w:val="00BF3308"/>
    <w:rsid w:val="00BF39C2"/>
    <w:rsid w:val="00BF39EF"/>
    <w:rsid w:val="00BF4F7F"/>
    <w:rsid w:val="00BF6525"/>
    <w:rsid w:val="00BF6764"/>
    <w:rsid w:val="00BF6998"/>
    <w:rsid w:val="00BF76D2"/>
    <w:rsid w:val="00BF798C"/>
    <w:rsid w:val="00C02723"/>
    <w:rsid w:val="00C03003"/>
    <w:rsid w:val="00C031A6"/>
    <w:rsid w:val="00C03661"/>
    <w:rsid w:val="00C042C2"/>
    <w:rsid w:val="00C04399"/>
    <w:rsid w:val="00C04EB9"/>
    <w:rsid w:val="00C05660"/>
    <w:rsid w:val="00C05679"/>
    <w:rsid w:val="00C05E7E"/>
    <w:rsid w:val="00C0601A"/>
    <w:rsid w:val="00C06152"/>
    <w:rsid w:val="00C07210"/>
    <w:rsid w:val="00C07B57"/>
    <w:rsid w:val="00C10134"/>
    <w:rsid w:val="00C1081D"/>
    <w:rsid w:val="00C10B3C"/>
    <w:rsid w:val="00C114C8"/>
    <w:rsid w:val="00C13082"/>
    <w:rsid w:val="00C145BE"/>
    <w:rsid w:val="00C16597"/>
    <w:rsid w:val="00C1684C"/>
    <w:rsid w:val="00C17BF8"/>
    <w:rsid w:val="00C2032C"/>
    <w:rsid w:val="00C203A8"/>
    <w:rsid w:val="00C20A0E"/>
    <w:rsid w:val="00C21F7C"/>
    <w:rsid w:val="00C21F94"/>
    <w:rsid w:val="00C227FA"/>
    <w:rsid w:val="00C2489C"/>
    <w:rsid w:val="00C24D4F"/>
    <w:rsid w:val="00C25767"/>
    <w:rsid w:val="00C26B94"/>
    <w:rsid w:val="00C26BE8"/>
    <w:rsid w:val="00C26FBF"/>
    <w:rsid w:val="00C27DF4"/>
    <w:rsid w:val="00C30AF9"/>
    <w:rsid w:val="00C3363B"/>
    <w:rsid w:val="00C33CED"/>
    <w:rsid w:val="00C3417A"/>
    <w:rsid w:val="00C343CC"/>
    <w:rsid w:val="00C34FFC"/>
    <w:rsid w:val="00C35013"/>
    <w:rsid w:val="00C359DF"/>
    <w:rsid w:val="00C37307"/>
    <w:rsid w:val="00C37451"/>
    <w:rsid w:val="00C37972"/>
    <w:rsid w:val="00C4056F"/>
    <w:rsid w:val="00C4072A"/>
    <w:rsid w:val="00C40B4D"/>
    <w:rsid w:val="00C415B8"/>
    <w:rsid w:val="00C4205B"/>
    <w:rsid w:val="00C45733"/>
    <w:rsid w:val="00C47787"/>
    <w:rsid w:val="00C51333"/>
    <w:rsid w:val="00C523CE"/>
    <w:rsid w:val="00C52567"/>
    <w:rsid w:val="00C529F2"/>
    <w:rsid w:val="00C54569"/>
    <w:rsid w:val="00C547D1"/>
    <w:rsid w:val="00C55156"/>
    <w:rsid w:val="00C560FB"/>
    <w:rsid w:val="00C57828"/>
    <w:rsid w:val="00C605BF"/>
    <w:rsid w:val="00C61567"/>
    <w:rsid w:val="00C633B1"/>
    <w:rsid w:val="00C6474C"/>
    <w:rsid w:val="00C64B15"/>
    <w:rsid w:val="00C65BD9"/>
    <w:rsid w:val="00C66808"/>
    <w:rsid w:val="00C70C0C"/>
    <w:rsid w:val="00C7195C"/>
    <w:rsid w:val="00C71BF7"/>
    <w:rsid w:val="00C729CC"/>
    <w:rsid w:val="00C737CA"/>
    <w:rsid w:val="00C74B71"/>
    <w:rsid w:val="00C755CF"/>
    <w:rsid w:val="00C757CB"/>
    <w:rsid w:val="00C76722"/>
    <w:rsid w:val="00C76981"/>
    <w:rsid w:val="00C76E73"/>
    <w:rsid w:val="00C772B2"/>
    <w:rsid w:val="00C77377"/>
    <w:rsid w:val="00C776F2"/>
    <w:rsid w:val="00C7776B"/>
    <w:rsid w:val="00C77E10"/>
    <w:rsid w:val="00C80BCF"/>
    <w:rsid w:val="00C822C2"/>
    <w:rsid w:val="00C8258C"/>
    <w:rsid w:val="00C8293F"/>
    <w:rsid w:val="00C829E8"/>
    <w:rsid w:val="00C831FB"/>
    <w:rsid w:val="00C8383D"/>
    <w:rsid w:val="00C83862"/>
    <w:rsid w:val="00C86889"/>
    <w:rsid w:val="00C86EF7"/>
    <w:rsid w:val="00C9054C"/>
    <w:rsid w:val="00C90C6C"/>
    <w:rsid w:val="00C91D12"/>
    <w:rsid w:val="00C9242A"/>
    <w:rsid w:val="00C9242C"/>
    <w:rsid w:val="00C935E0"/>
    <w:rsid w:val="00C93A3D"/>
    <w:rsid w:val="00C940C1"/>
    <w:rsid w:val="00C94375"/>
    <w:rsid w:val="00C97415"/>
    <w:rsid w:val="00C97D17"/>
    <w:rsid w:val="00CA1BC4"/>
    <w:rsid w:val="00CA1DEA"/>
    <w:rsid w:val="00CA2AA8"/>
    <w:rsid w:val="00CA30CF"/>
    <w:rsid w:val="00CA4459"/>
    <w:rsid w:val="00CA5757"/>
    <w:rsid w:val="00CA5D63"/>
    <w:rsid w:val="00CA5FCA"/>
    <w:rsid w:val="00CA6D04"/>
    <w:rsid w:val="00CA74DC"/>
    <w:rsid w:val="00CA7779"/>
    <w:rsid w:val="00CA78D2"/>
    <w:rsid w:val="00CB1304"/>
    <w:rsid w:val="00CB150F"/>
    <w:rsid w:val="00CB1BD3"/>
    <w:rsid w:val="00CB2BD6"/>
    <w:rsid w:val="00CB2C44"/>
    <w:rsid w:val="00CB32D8"/>
    <w:rsid w:val="00CB4685"/>
    <w:rsid w:val="00CB5E1D"/>
    <w:rsid w:val="00CB6084"/>
    <w:rsid w:val="00CC0664"/>
    <w:rsid w:val="00CC0FDA"/>
    <w:rsid w:val="00CC2A49"/>
    <w:rsid w:val="00CC2B1A"/>
    <w:rsid w:val="00CC2EBD"/>
    <w:rsid w:val="00CC3449"/>
    <w:rsid w:val="00CC3756"/>
    <w:rsid w:val="00CC58C5"/>
    <w:rsid w:val="00CC6DB9"/>
    <w:rsid w:val="00CC7200"/>
    <w:rsid w:val="00CC7FE9"/>
    <w:rsid w:val="00CD1FD3"/>
    <w:rsid w:val="00CD2407"/>
    <w:rsid w:val="00CD3298"/>
    <w:rsid w:val="00CD3574"/>
    <w:rsid w:val="00CD3EFF"/>
    <w:rsid w:val="00CD3FFC"/>
    <w:rsid w:val="00CD5D31"/>
    <w:rsid w:val="00CD5F0B"/>
    <w:rsid w:val="00CD64FC"/>
    <w:rsid w:val="00CD6765"/>
    <w:rsid w:val="00CD725B"/>
    <w:rsid w:val="00CE02F2"/>
    <w:rsid w:val="00CE085B"/>
    <w:rsid w:val="00CE122B"/>
    <w:rsid w:val="00CE1B19"/>
    <w:rsid w:val="00CE1C25"/>
    <w:rsid w:val="00CE229D"/>
    <w:rsid w:val="00CE2915"/>
    <w:rsid w:val="00CE325D"/>
    <w:rsid w:val="00CE32D2"/>
    <w:rsid w:val="00CE4090"/>
    <w:rsid w:val="00CE4129"/>
    <w:rsid w:val="00CE59B4"/>
    <w:rsid w:val="00CE601E"/>
    <w:rsid w:val="00CE6CCD"/>
    <w:rsid w:val="00CE7200"/>
    <w:rsid w:val="00CF0D8F"/>
    <w:rsid w:val="00CF34E0"/>
    <w:rsid w:val="00CF401F"/>
    <w:rsid w:val="00CF4320"/>
    <w:rsid w:val="00CF6336"/>
    <w:rsid w:val="00CF6BC1"/>
    <w:rsid w:val="00CF71A2"/>
    <w:rsid w:val="00CF72F9"/>
    <w:rsid w:val="00CF752F"/>
    <w:rsid w:val="00CF7B4B"/>
    <w:rsid w:val="00D00A52"/>
    <w:rsid w:val="00D00E71"/>
    <w:rsid w:val="00D010A3"/>
    <w:rsid w:val="00D0180C"/>
    <w:rsid w:val="00D019C5"/>
    <w:rsid w:val="00D01F17"/>
    <w:rsid w:val="00D02654"/>
    <w:rsid w:val="00D02C57"/>
    <w:rsid w:val="00D0321D"/>
    <w:rsid w:val="00D03412"/>
    <w:rsid w:val="00D03E94"/>
    <w:rsid w:val="00D04484"/>
    <w:rsid w:val="00D046E2"/>
    <w:rsid w:val="00D0528E"/>
    <w:rsid w:val="00D0657C"/>
    <w:rsid w:val="00D07BDB"/>
    <w:rsid w:val="00D07FC7"/>
    <w:rsid w:val="00D10208"/>
    <w:rsid w:val="00D104D4"/>
    <w:rsid w:val="00D10544"/>
    <w:rsid w:val="00D13037"/>
    <w:rsid w:val="00D13C70"/>
    <w:rsid w:val="00D15155"/>
    <w:rsid w:val="00D154D3"/>
    <w:rsid w:val="00D15B4D"/>
    <w:rsid w:val="00D2038F"/>
    <w:rsid w:val="00D20AB9"/>
    <w:rsid w:val="00D20F19"/>
    <w:rsid w:val="00D220D0"/>
    <w:rsid w:val="00D220FF"/>
    <w:rsid w:val="00D22A23"/>
    <w:rsid w:val="00D22C81"/>
    <w:rsid w:val="00D22FCF"/>
    <w:rsid w:val="00D23196"/>
    <w:rsid w:val="00D234D8"/>
    <w:rsid w:val="00D23E2C"/>
    <w:rsid w:val="00D258F8"/>
    <w:rsid w:val="00D25A78"/>
    <w:rsid w:val="00D26373"/>
    <w:rsid w:val="00D26E10"/>
    <w:rsid w:val="00D27439"/>
    <w:rsid w:val="00D27D30"/>
    <w:rsid w:val="00D322F5"/>
    <w:rsid w:val="00D32C34"/>
    <w:rsid w:val="00D3330A"/>
    <w:rsid w:val="00D33BC1"/>
    <w:rsid w:val="00D33BD5"/>
    <w:rsid w:val="00D3470C"/>
    <w:rsid w:val="00D34C40"/>
    <w:rsid w:val="00D34F3B"/>
    <w:rsid w:val="00D35DC8"/>
    <w:rsid w:val="00D404A3"/>
    <w:rsid w:val="00D40B2F"/>
    <w:rsid w:val="00D41335"/>
    <w:rsid w:val="00D43307"/>
    <w:rsid w:val="00D44382"/>
    <w:rsid w:val="00D44941"/>
    <w:rsid w:val="00D44C08"/>
    <w:rsid w:val="00D4571B"/>
    <w:rsid w:val="00D457B4"/>
    <w:rsid w:val="00D4591B"/>
    <w:rsid w:val="00D50696"/>
    <w:rsid w:val="00D50962"/>
    <w:rsid w:val="00D50B67"/>
    <w:rsid w:val="00D50F6D"/>
    <w:rsid w:val="00D51DAF"/>
    <w:rsid w:val="00D52694"/>
    <w:rsid w:val="00D52868"/>
    <w:rsid w:val="00D52A1C"/>
    <w:rsid w:val="00D53AEF"/>
    <w:rsid w:val="00D53B37"/>
    <w:rsid w:val="00D54785"/>
    <w:rsid w:val="00D54D4D"/>
    <w:rsid w:val="00D55E77"/>
    <w:rsid w:val="00D55F45"/>
    <w:rsid w:val="00D573EA"/>
    <w:rsid w:val="00D57BCE"/>
    <w:rsid w:val="00D603F8"/>
    <w:rsid w:val="00D60F39"/>
    <w:rsid w:val="00D621D2"/>
    <w:rsid w:val="00D62382"/>
    <w:rsid w:val="00D62CE7"/>
    <w:rsid w:val="00D62F0F"/>
    <w:rsid w:val="00D63B63"/>
    <w:rsid w:val="00D6433F"/>
    <w:rsid w:val="00D65307"/>
    <w:rsid w:val="00D71AF3"/>
    <w:rsid w:val="00D721AD"/>
    <w:rsid w:val="00D72984"/>
    <w:rsid w:val="00D729E3"/>
    <w:rsid w:val="00D73258"/>
    <w:rsid w:val="00D7395D"/>
    <w:rsid w:val="00D73C58"/>
    <w:rsid w:val="00D73F86"/>
    <w:rsid w:val="00D741EE"/>
    <w:rsid w:val="00D74857"/>
    <w:rsid w:val="00D7503E"/>
    <w:rsid w:val="00D7590A"/>
    <w:rsid w:val="00D75A36"/>
    <w:rsid w:val="00D7645E"/>
    <w:rsid w:val="00D76F0E"/>
    <w:rsid w:val="00D80643"/>
    <w:rsid w:val="00D80A4E"/>
    <w:rsid w:val="00D81C57"/>
    <w:rsid w:val="00D82636"/>
    <w:rsid w:val="00D86717"/>
    <w:rsid w:val="00D8693E"/>
    <w:rsid w:val="00D86D45"/>
    <w:rsid w:val="00D909C0"/>
    <w:rsid w:val="00D90CD4"/>
    <w:rsid w:val="00D90EE4"/>
    <w:rsid w:val="00D910FF"/>
    <w:rsid w:val="00D91439"/>
    <w:rsid w:val="00D916D9"/>
    <w:rsid w:val="00D9173D"/>
    <w:rsid w:val="00D91973"/>
    <w:rsid w:val="00D91EC6"/>
    <w:rsid w:val="00D91FD1"/>
    <w:rsid w:val="00D92390"/>
    <w:rsid w:val="00D92B75"/>
    <w:rsid w:val="00D92F98"/>
    <w:rsid w:val="00D94A65"/>
    <w:rsid w:val="00D94ED2"/>
    <w:rsid w:val="00D9630B"/>
    <w:rsid w:val="00D96D38"/>
    <w:rsid w:val="00DA01CD"/>
    <w:rsid w:val="00DA25F1"/>
    <w:rsid w:val="00DA6467"/>
    <w:rsid w:val="00DA7732"/>
    <w:rsid w:val="00DA787C"/>
    <w:rsid w:val="00DB00C5"/>
    <w:rsid w:val="00DB052B"/>
    <w:rsid w:val="00DB394D"/>
    <w:rsid w:val="00DB4DEB"/>
    <w:rsid w:val="00DB5222"/>
    <w:rsid w:val="00DB52D4"/>
    <w:rsid w:val="00DB6211"/>
    <w:rsid w:val="00DB7F77"/>
    <w:rsid w:val="00DC0B8B"/>
    <w:rsid w:val="00DC2438"/>
    <w:rsid w:val="00DC2992"/>
    <w:rsid w:val="00DC2FA9"/>
    <w:rsid w:val="00DC358F"/>
    <w:rsid w:val="00DC365E"/>
    <w:rsid w:val="00DC45EC"/>
    <w:rsid w:val="00DC4CDE"/>
    <w:rsid w:val="00DC706E"/>
    <w:rsid w:val="00DD0DC5"/>
    <w:rsid w:val="00DD1DBF"/>
    <w:rsid w:val="00DD25C0"/>
    <w:rsid w:val="00DD2821"/>
    <w:rsid w:val="00DD28F6"/>
    <w:rsid w:val="00DD2BDC"/>
    <w:rsid w:val="00DD2D7E"/>
    <w:rsid w:val="00DD32FD"/>
    <w:rsid w:val="00DD3C8C"/>
    <w:rsid w:val="00DD445E"/>
    <w:rsid w:val="00DD57BA"/>
    <w:rsid w:val="00DD5A0B"/>
    <w:rsid w:val="00DD5F77"/>
    <w:rsid w:val="00DD7105"/>
    <w:rsid w:val="00DE04AF"/>
    <w:rsid w:val="00DE0EFA"/>
    <w:rsid w:val="00DE10FD"/>
    <w:rsid w:val="00DE26CF"/>
    <w:rsid w:val="00DE41DE"/>
    <w:rsid w:val="00DE48F8"/>
    <w:rsid w:val="00DE5426"/>
    <w:rsid w:val="00DE5A26"/>
    <w:rsid w:val="00DE5D16"/>
    <w:rsid w:val="00DF01D2"/>
    <w:rsid w:val="00DF07EB"/>
    <w:rsid w:val="00DF1624"/>
    <w:rsid w:val="00DF23EA"/>
    <w:rsid w:val="00DF33BA"/>
    <w:rsid w:val="00DF3D74"/>
    <w:rsid w:val="00DF4D7F"/>
    <w:rsid w:val="00DF4F09"/>
    <w:rsid w:val="00DF51CE"/>
    <w:rsid w:val="00DF577F"/>
    <w:rsid w:val="00DF58A0"/>
    <w:rsid w:val="00DF796E"/>
    <w:rsid w:val="00E015A9"/>
    <w:rsid w:val="00E02E56"/>
    <w:rsid w:val="00E032D1"/>
    <w:rsid w:val="00E032D5"/>
    <w:rsid w:val="00E03773"/>
    <w:rsid w:val="00E038B2"/>
    <w:rsid w:val="00E03941"/>
    <w:rsid w:val="00E04B89"/>
    <w:rsid w:val="00E05154"/>
    <w:rsid w:val="00E06D32"/>
    <w:rsid w:val="00E07E4D"/>
    <w:rsid w:val="00E110A3"/>
    <w:rsid w:val="00E11DC8"/>
    <w:rsid w:val="00E11F66"/>
    <w:rsid w:val="00E120D0"/>
    <w:rsid w:val="00E12C7A"/>
    <w:rsid w:val="00E145AD"/>
    <w:rsid w:val="00E1676F"/>
    <w:rsid w:val="00E1741E"/>
    <w:rsid w:val="00E203B6"/>
    <w:rsid w:val="00E20FCA"/>
    <w:rsid w:val="00E2137A"/>
    <w:rsid w:val="00E22002"/>
    <w:rsid w:val="00E227AA"/>
    <w:rsid w:val="00E2377D"/>
    <w:rsid w:val="00E23B8C"/>
    <w:rsid w:val="00E25890"/>
    <w:rsid w:val="00E2612A"/>
    <w:rsid w:val="00E2685E"/>
    <w:rsid w:val="00E27585"/>
    <w:rsid w:val="00E3075D"/>
    <w:rsid w:val="00E3075E"/>
    <w:rsid w:val="00E31D7E"/>
    <w:rsid w:val="00E3217B"/>
    <w:rsid w:val="00E3229C"/>
    <w:rsid w:val="00E33CE8"/>
    <w:rsid w:val="00E34EE7"/>
    <w:rsid w:val="00E354EE"/>
    <w:rsid w:val="00E40689"/>
    <w:rsid w:val="00E439C8"/>
    <w:rsid w:val="00E43E7F"/>
    <w:rsid w:val="00E44387"/>
    <w:rsid w:val="00E47B9D"/>
    <w:rsid w:val="00E47F5B"/>
    <w:rsid w:val="00E50695"/>
    <w:rsid w:val="00E50BC4"/>
    <w:rsid w:val="00E513F1"/>
    <w:rsid w:val="00E51A91"/>
    <w:rsid w:val="00E51C5C"/>
    <w:rsid w:val="00E5230B"/>
    <w:rsid w:val="00E526BE"/>
    <w:rsid w:val="00E5331D"/>
    <w:rsid w:val="00E53874"/>
    <w:rsid w:val="00E54053"/>
    <w:rsid w:val="00E542F0"/>
    <w:rsid w:val="00E547D2"/>
    <w:rsid w:val="00E54C72"/>
    <w:rsid w:val="00E54F12"/>
    <w:rsid w:val="00E55CD3"/>
    <w:rsid w:val="00E56691"/>
    <w:rsid w:val="00E56AD5"/>
    <w:rsid w:val="00E61FAB"/>
    <w:rsid w:val="00E62229"/>
    <w:rsid w:val="00E6281A"/>
    <w:rsid w:val="00E63513"/>
    <w:rsid w:val="00E63786"/>
    <w:rsid w:val="00E64ADA"/>
    <w:rsid w:val="00E670A4"/>
    <w:rsid w:val="00E67F09"/>
    <w:rsid w:val="00E71C76"/>
    <w:rsid w:val="00E71E60"/>
    <w:rsid w:val="00E71EA7"/>
    <w:rsid w:val="00E72B70"/>
    <w:rsid w:val="00E72FF0"/>
    <w:rsid w:val="00E73B0C"/>
    <w:rsid w:val="00E73BB1"/>
    <w:rsid w:val="00E74416"/>
    <w:rsid w:val="00E74F74"/>
    <w:rsid w:val="00E76744"/>
    <w:rsid w:val="00E76D54"/>
    <w:rsid w:val="00E77483"/>
    <w:rsid w:val="00E77D13"/>
    <w:rsid w:val="00E80072"/>
    <w:rsid w:val="00E80189"/>
    <w:rsid w:val="00E80B0E"/>
    <w:rsid w:val="00E8255D"/>
    <w:rsid w:val="00E82A13"/>
    <w:rsid w:val="00E82BB3"/>
    <w:rsid w:val="00E8374A"/>
    <w:rsid w:val="00E83922"/>
    <w:rsid w:val="00E84434"/>
    <w:rsid w:val="00E84624"/>
    <w:rsid w:val="00E85878"/>
    <w:rsid w:val="00E85E18"/>
    <w:rsid w:val="00E86A6D"/>
    <w:rsid w:val="00E91049"/>
    <w:rsid w:val="00E92C9D"/>
    <w:rsid w:val="00E92D78"/>
    <w:rsid w:val="00E946A4"/>
    <w:rsid w:val="00E94F2F"/>
    <w:rsid w:val="00E94F9C"/>
    <w:rsid w:val="00E958C2"/>
    <w:rsid w:val="00E960EF"/>
    <w:rsid w:val="00E9624D"/>
    <w:rsid w:val="00E971BF"/>
    <w:rsid w:val="00E9728C"/>
    <w:rsid w:val="00EA0106"/>
    <w:rsid w:val="00EA14C3"/>
    <w:rsid w:val="00EA2D84"/>
    <w:rsid w:val="00EA306B"/>
    <w:rsid w:val="00EA36DF"/>
    <w:rsid w:val="00EA3E6A"/>
    <w:rsid w:val="00EA431C"/>
    <w:rsid w:val="00EA4986"/>
    <w:rsid w:val="00EA5938"/>
    <w:rsid w:val="00EA5EF7"/>
    <w:rsid w:val="00EA6C0D"/>
    <w:rsid w:val="00EA72EF"/>
    <w:rsid w:val="00EA7327"/>
    <w:rsid w:val="00EA7ADB"/>
    <w:rsid w:val="00EB0367"/>
    <w:rsid w:val="00EB09C2"/>
    <w:rsid w:val="00EB0A1F"/>
    <w:rsid w:val="00EB11C6"/>
    <w:rsid w:val="00EB133B"/>
    <w:rsid w:val="00EB1699"/>
    <w:rsid w:val="00EB312C"/>
    <w:rsid w:val="00EB36F8"/>
    <w:rsid w:val="00EB37B4"/>
    <w:rsid w:val="00EB3D67"/>
    <w:rsid w:val="00EB4F7D"/>
    <w:rsid w:val="00EB5B86"/>
    <w:rsid w:val="00EB5DAC"/>
    <w:rsid w:val="00EB6341"/>
    <w:rsid w:val="00EB641F"/>
    <w:rsid w:val="00EB645E"/>
    <w:rsid w:val="00EB717A"/>
    <w:rsid w:val="00EB72E3"/>
    <w:rsid w:val="00EB7F90"/>
    <w:rsid w:val="00EB7FB2"/>
    <w:rsid w:val="00EC0DA3"/>
    <w:rsid w:val="00EC12B5"/>
    <w:rsid w:val="00EC436B"/>
    <w:rsid w:val="00EC55C2"/>
    <w:rsid w:val="00EC5975"/>
    <w:rsid w:val="00EC6124"/>
    <w:rsid w:val="00EC6155"/>
    <w:rsid w:val="00EC61E5"/>
    <w:rsid w:val="00EC6509"/>
    <w:rsid w:val="00EC6DAD"/>
    <w:rsid w:val="00EC7CDF"/>
    <w:rsid w:val="00ED00C7"/>
    <w:rsid w:val="00ED0B39"/>
    <w:rsid w:val="00ED122A"/>
    <w:rsid w:val="00ED24B0"/>
    <w:rsid w:val="00ED3057"/>
    <w:rsid w:val="00ED331F"/>
    <w:rsid w:val="00ED33FA"/>
    <w:rsid w:val="00ED39F1"/>
    <w:rsid w:val="00ED4335"/>
    <w:rsid w:val="00ED5678"/>
    <w:rsid w:val="00EE101A"/>
    <w:rsid w:val="00EE172F"/>
    <w:rsid w:val="00EE1D9C"/>
    <w:rsid w:val="00EE207C"/>
    <w:rsid w:val="00EE2975"/>
    <w:rsid w:val="00EE4859"/>
    <w:rsid w:val="00EE4A9F"/>
    <w:rsid w:val="00EE6649"/>
    <w:rsid w:val="00EE67CD"/>
    <w:rsid w:val="00EF0388"/>
    <w:rsid w:val="00EF0A16"/>
    <w:rsid w:val="00EF344C"/>
    <w:rsid w:val="00EF40EA"/>
    <w:rsid w:val="00EF47C4"/>
    <w:rsid w:val="00EF4864"/>
    <w:rsid w:val="00EF538C"/>
    <w:rsid w:val="00EF53EB"/>
    <w:rsid w:val="00EF5A05"/>
    <w:rsid w:val="00EF6A81"/>
    <w:rsid w:val="00EF6D8E"/>
    <w:rsid w:val="00EF726A"/>
    <w:rsid w:val="00EF76C8"/>
    <w:rsid w:val="00EF7A9B"/>
    <w:rsid w:val="00F00194"/>
    <w:rsid w:val="00F02684"/>
    <w:rsid w:val="00F028A6"/>
    <w:rsid w:val="00F031E8"/>
    <w:rsid w:val="00F03281"/>
    <w:rsid w:val="00F03FDD"/>
    <w:rsid w:val="00F05603"/>
    <w:rsid w:val="00F07E63"/>
    <w:rsid w:val="00F107C0"/>
    <w:rsid w:val="00F112FD"/>
    <w:rsid w:val="00F11B59"/>
    <w:rsid w:val="00F12EF6"/>
    <w:rsid w:val="00F131B6"/>
    <w:rsid w:val="00F136A8"/>
    <w:rsid w:val="00F14417"/>
    <w:rsid w:val="00F1499E"/>
    <w:rsid w:val="00F1649D"/>
    <w:rsid w:val="00F168D5"/>
    <w:rsid w:val="00F176D3"/>
    <w:rsid w:val="00F177AD"/>
    <w:rsid w:val="00F212F7"/>
    <w:rsid w:val="00F23714"/>
    <w:rsid w:val="00F23EAE"/>
    <w:rsid w:val="00F2558F"/>
    <w:rsid w:val="00F25AFF"/>
    <w:rsid w:val="00F26194"/>
    <w:rsid w:val="00F26F32"/>
    <w:rsid w:val="00F27D0C"/>
    <w:rsid w:val="00F30E23"/>
    <w:rsid w:val="00F319B4"/>
    <w:rsid w:val="00F31AB1"/>
    <w:rsid w:val="00F31F0F"/>
    <w:rsid w:val="00F32595"/>
    <w:rsid w:val="00F34C1E"/>
    <w:rsid w:val="00F3502C"/>
    <w:rsid w:val="00F35138"/>
    <w:rsid w:val="00F37EFC"/>
    <w:rsid w:val="00F4032C"/>
    <w:rsid w:val="00F40E7E"/>
    <w:rsid w:val="00F422CE"/>
    <w:rsid w:val="00F425F9"/>
    <w:rsid w:val="00F43DD4"/>
    <w:rsid w:val="00F45019"/>
    <w:rsid w:val="00F45ECC"/>
    <w:rsid w:val="00F46D9C"/>
    <w:rsid w:val="00F46F24"/>
    <w:rsid w:val="00F50007"/>
    <w:rsid w:val="00F501D5"/>
    <w:rsid w:val="00F515DD"/>
    <w:rsid w:val="00F54FA6"/>
    <w:rsid w:val="00F55350"/>
    <w:rsid w:val="00F55555"/>
    <w:rsid w:val="00F5561B"/>
    <w:rsid w:val="00F55E8E"/>
    <w:rsid w:val="00F5607A"/>
    <w:rsid w:val="00F562F7"/>
    <w:rsid w:val="00F56B43"/>
    <w:rsid w:val="00F57B19"/>
    <w:rsid w:val="00F61453"/>
    <w:rsid w:val="00F6167A"/>
    <w:rsid w:val="00F61ADA"/>
    <w:rsid w:val="00F61C48"/>
    <w:rsid w:val="00F6377A"/>
    <w:rsid w:val="00F6410F"/>
    <w:rsid w:val="00F652FE"/>
    <w:rsid w:val="00F659E8"/>
    <w:rsid w:val="00F65AA6"/>
    <w:rsid w:val="00F66D64"/>
    <w:rsid w:val="00F675F0"/>
    <w:rsid w:val="00F701C4"/>
    <w:rsid w:val="00F70C31"/>
    <w:rsid w:val="00F71167"/>
    <w:rsid w:val="00F71754"/>
    <w:rsid w:val="00F7494D"/>
    <w:rsid w:val="00F8190A"/>
    <w:rsid w:val="00F832E0"/>
    <w:rsid w:val="00F83A2A"/>
    <w:rsid w:val="00F84952"/>
    <w:rsid w:val="00F851F8"/>
    <w:rsid w:val="00F854C8"/>
    <w:rsid w:val="00F8636E"/>
    <w:rsid w:val="00F96ABC"/>
    <w:rsid w:val="00FA2D3F"/>
    <w:rsid w:val="00FA42EF"/>
    <w:rsid w:val="00FA444C"/>
    <w:rsid w:val="00FA47D8"/>
    <w:rsid w:val="00FA50A9"/>
    <w:rsid w:val="00FA5C94"/>
    <w:rsid w:val="00FA68C7"/>
    <w:rsid w:val="00FA6B23"/>
    <w:rsid w:val="00FA7D4C"/>
    <w:rsid w:val="00FB000F"/>
    <w:rsid w:val="00FB0596"/>
    <w:rsid w:val="00FB1391"/>
    <w:rsid w:val="00FB1CF5"/>
    <w:rsid w:val="00FB1F49"/>
    <w:rsid w:val="00FB2641"/>
    <w:rsid w:val="00FB2EE1"/>
    <w:rsid w:val="00FB30A5"/>
    <w:rsid w:val="00FB383C"/>
    <w:rsid w:val="00FB4F50"/>
    <w:rsid w:val="00FB722E"/>
    <w:rsid w:val="00FB780A"/>
    <w:rsid w:val="00FC0EDA"/>
    <w:rsid w:val="00FC1027"/>
    <w:rsid w:val="00FC2C32"/>
    <w:rsid w:val="00FC3225"/>
    <w:rsid w:val="00FC4008"/>
    <w:rsid w:val="00FC4814"/>
    <w:rsid w:val="00FC498B"/>
    <w:rsid w:val="00FC4F54"/>
    <w:rsid w:val="00FC5A8B"/>
    <w:rsid w:val="00FC60E2"/>
    <w:rsid w:val="00FC77E3"/>
    <w:rsid w:val="00FC7BEB"/>
    <w:rsid w:val="00FD03D0"/>
    <w:rsid w:val="00FD0540"/>
    <w:rsid w:val="00FD2A95"/>
    <w:rsid w:val="00FD694F"/>
    <w:rsid w:val="00FD7258"/>
    <w:rsid w:val="00FD769D"/>
    <w:rsid w:val="00FD7B95"/>
    <w:rsid w:val="00FD7D25"/>
    <w:rsid w:val="00FE0826"/>
    <w:rsid w:val="00FE0FED"/>
    <w:rsid w:val="00FE14DE"/>
    <w:rsid w:val="00FE1CEA"/>
    <w:rsid w:val="00FE3474"/>
    <w:rsid w:val="00FE39B4"/>
    <w:rsid w:val="00FE3D18"/>
    <w:rsid w:val="00FE4968"/>
    <w:rsid w:val="00FE49A5"/>
    <w:rsid w:val="00FE4A96"/>
    <w:rsid w:val="00FE52C1"/>
    <w:rsid w:val="00FE59E7"/>
    <w:rsid w:val="00FE5A09"/>
    <w:rsid w:val="00FE61BC"/>
    <w:rsid w:val="00FE6BD4"/>
    <w:rsid w:val="00FE7216"/>
    <w:rsid w:val="00FF19C4"/>
    <w:rsid w:val="00FF25A8"/>
    <w:rsid w:val="00FF27DD"/>
    <w:rsid w:val="00FF2FE8"/>
    <w:rsid w:val="00FF351B"/>
    <w:rsid w:val="00FF49AE"/>
    <w:rsid w:val="00FF4D4E"/>
    <w:rsid w:val="01153944"/>
    <w:rsid w:val="011A0B9B"/>
    <w:rsid w:val="01A969EE"/>
    <w:rsid w:val="01B825EA"/>
    <w:rsid w:val="01BE15D6"/>
    <w:rsid w:val="01DD5C9D"/>
    <w:rsid w:val="01DF0494"/>
    <w:rsid w:val="01F747C4"/>
    <w:rsid w:val="01FF3FF7"/>
    <w:rsid w:val="02094328"/>
    <w:rsid w:val="021B5198"/>
    <w:rsid w:val="02223025"/>
    <w:rsid w:val="022349F8"/>
    <w:rsid w:val="023D45B2"/>
    <w:rsid w:val="024407A8"/>
    <w:rsid w:val="02530C35"/>
    <w:rsid w:val="0256414C"/>
    <w:rsid w:val="027705BD"/>
    <w:rsid w:val="02886F2A"/>
    <w:rsid w:val="02A460B5"/>
    <w:rsid w:val="02AC10C5"/>
    <w:rsid w:val="02B33F91"/>
    <w:rsid w:val="02B97F52"/>
    <w:rsid w:val="02C27836"/>
    <w:rsid w:val="02F20266"/>
    <w:rsid w:val="03016C38"/>
    <w:rsid w:val="03191E31"/>
    <w:rsid w:val="031D7F1E"/>
    <w:rsid w:val="0336076D"/>
    <w:rsid w:val="033631F7"/>
    <w:rsid w:val="034D7E4F"/>
    <w:rsid w:val="035E7705"/>
    <w:rsid w:val="037A5D8C"/>
    <w:rsid w:val="038F3AC3"/>
    <w:rsid w:val="03911900"/>
    <w:rsid w:val="039A5DF1"/>
    <w:rsid w:val="039C1658"/>
    <w:rsid w:val="03BC6EC4"/>
    <w:rsid w:val="03EA2DF4"/>
    <w:rsid w:val="03EE6794"/>
    <w:rsid w:val="04064336"/>
    <w:rsid w:val="042E3777"/>
    <w:rsid w:val="04335F66"/>
    <w:rsid w:val="04477DD7"/>
    <w:rsid w:val="04510318"/>
    <w:rsid w:val="04544A9B"/>
    <w:rsid w:val="0454718A"/>
    <w:rsid w:val="04601DDB"/>
    <w:rsid w:val="0460511C"/>
    <w:rsid w:val="048F56F5"/>
    <w:rsid w:val="049213C8"/>
    <w:rsid w:val="049D2FF4"/>
    <w:rsid w:val="04DC0DC1"/>
    <w:rsid w:val="04E872E3"/>
    <w:rsid w:val="051D6858"/>
    <w:rsid w:val="052E0C58"/>
    <w:rsid w:val="055371BF"/>
    <w:rsid w:val="0569293F"/>
    <w:rsid w:val="05742B4E"/>
    <w:rsid w:val="05C97724"/>
    <w:rsid w:val="05F72DCD"/>
    <w:rsid w:val="060D7D84"/>
    <w:rsid w:val="061C4D92"/>
    <w:rsid w:val="06244A68"/>
    <w:rsid w:val="063D410C"/>
    <w:rsid w:val="064103F7"/>
    <w:rsid w:val="064775DC"/>
    <w:rsid w:val="065D4CC6"/>
    <w:rsid w:val="06740B76"/>
    <w:rsid w:val="067D2685"/>
    <w:rsid w:val="068E4525"/>
    <w:rsid w:val="06E82834"/>
    <w:rsid w:val="07042C47"/>
    <w:rsid w:val="07163400"/>
    <w:rsid w:val="072C5410"/>
    <w:rsid w:val="076967B9"/>
    <w:rsid w:val="07856760"/>
    <w:rsid w:val="0786016B"/>
    <w:rsid w:val="07916EC1"/>
    <w:rsid w:val="07987458"/>
    <w:rsid w:val="07A31BC9"/>
    <w:rsid w:val="07AF7620"/>
    <w:rsid w:val="07B24EA9"/>
    <w:rsid w:val="07B76323"/>
    <w:rsid w:val="07BF5ACD"/>
    <w:rsid w:val="07F035AD"/>
    <w:rsid w:val="08073ADD"/>
    <w:rsid w:val="0823173B"/>
    <w:rsid w:val="08520D0D"/>
    <w:rsid w:val="086139A6"/>
    <w:rsid w:val="086800CE"/>
    <w:rsid w:val="086C0DC0"/>
    <w:rsid w:val="08876A08"/>
    <w:rsid w:val="088C73C9"/>
    <w:rsid w:val="089C5632"/>
    <w:rsid w:val="08FA4A62"/>
    <w:rsid w:val="093025CD"/>
    <w:rsid w:val="09345313"/>
    <w:rsid w:val="09492751"/>
    <w:rsid w:val="096178B0"/>
    <w:rsid w:val="097F381B"/>
    <w:rsid w:val="09DA6D06"/>
    <w:rsid w:val="09DE2EDF"/>
    <w:rsid w:val="09E32A96"/>
    <w:rsid w:val="09E93912"/>
    <w:rsid w:val="0A000E6F"/>
    <w:rsid w:val="0A0E6FDF"/>
    <w:rsid w:val="0A2011B3"/>
    <w:rsid w:val="0A77149A"/>
    <w:rsid w:val="0A7C24B8"/>
    <w:rsid w:val="0A823A01"/>
    <w:rsid w:val="0A8D5817"/>
    <w:rsid w:val="0AA81CC2"/>
    <w:rsid w:val="0AC6571A"/>
    <w:rsid w:val="0AE0152D"/>
    <w:rsid w:val="0AE7156B"/>
    <w:rsid w:val="0AF910B2"/>
    <w:rsid w:val="0B2A2B07"/>
    <w:rsid w:val="0B516046"/>
    <w:rsid w:val="0B5E2BC2"/>
    <w:rsid w:val="0B6A33B9"/>
    <w:rsid w:val="0BC6568D"/>
    <w:rsid w:val="0BD50A8E"/>
    <w:rsid w:val="0BEB2A3D"/>
    <w:rsid w:val="0BF13A1F"/>
    <w:rsid w:val="0C14765D"/>
    <w:rsid w:val="0C17465C"/>
    <w:rsid w:val="0C34539A"/>
    <w:rsid w:val="0C421D6D"/>
    <w:rsid w:val="0C4B0405"/>
    <w:rsid w:val="0C4C1DE5"/>
    <w:rsid w:val="0C533422"/>
    <w:rsid w:val="0C841EB0"/>
    <w:rsid w:val="0C9D1DF5"/>
    <w:rsid w:val="0C9E395B"/>
    <w:rsid w:val="0CA11057"/>
    <w:rsid w:val="0CA1688E"/>
    <w:rsid w:val="0CAB3001"/>
    <w:rsid w:val="0CC06CE2"/>
    <w:rsid w:val="0D0F4078"/>
    <w:rsid w:val="0D283848"/>
    <w:rsid w:val="0D3454B5"/>
    <w:rsid w:val="0D3E2355"/>
    <w:rsid w:val="0D864D96"/>
    <w:rsid w:val="0D963141"/>
    <w:rsid w:val="0D9E7CDB"/>
    <w:rsid w:val="0DB239CB"/>
    <w:rsid w:val="0DCC68B1"/>
    <w:rsid w:val="0DE03F9B"/>
    <w:rsid w:val="0DFE2BAA"/>
    <w:rsid w:val="0E022C7B"/>
    <w:rsid w:val="0E123DA0"/>
    <w:rsid w:val="0E1B67FA"/>
    <w:rsid w:val="0E2E6814"/>
    <w:rsid w:val="0E3F4218"/>
    <w:rsid w:val="0E463A1B"/>
    <w:rsid w:val="0E53028C"/>
    <w:rsid w:val="0E72185F"/>
    <w:rsid w:val="0EB018E2"/>
    <w:rsid w:val="0ECF2921"/>
    <w:rsid w:val="0EEC64FC"/>
    <w:rsid w:val="0EF66B17"/>
    <w:rsid w:val="0F015BCB"/>
    <w:rsid w:val="0F347E5F"/>
    <w:rsid w:val="0F5421D3"/>
    <w:rsid w:val="0F7B7B06"/>
    <w:rsid w:val="0FA85C4E"/>
    <w:rsid w:val="0FF924BD"/>
    <w:rsid w:val="0FFB6582"/>
    <w:rsid w:val="10046DF8"/>
    <w:rsid w:val="10314D76"/>
    <w:rsid w:val="104841B4"/>
    <w:rsid w:val="104A4BB4"/>
    <w:rsid w:val="105110A9"/>
    <w:rsid w:val="10747814"/>
    <w:rsid w:val="107A5A57"/>
    <w:rsid w:val="108B51B0"/>
    <w:rsid w:val="109F6FBB"/>
    <w:rsid w:val="10AB0BCF"/>
    <w:rsid w:val="10D21738"/>
    <w:rsid w:val="10D23BAB"/>
    <w:rsid w:val="10D76F8A"/>
    <w:rsid w:val="10E75FDF"/>
    <w:rsid w:val="10ED0172"/>
    <w:rsid w:val="10F02F16"/>
    <w:rsid w:val="10F22A24"/>
    <w:rsid w:val="10F2360A"/>
    <w:rsid w:val="110922DC"/>
    <w:rsid w:val="110A07FC"/>
    <w:rsid w:val="110E5C3A"/>
    <w:rsid w:val="111C6F5D"/>
    <w:rsid w:val="112577CE"/>
    <w:rsid w:val="11273C91"/>
    <w:rsid w:val="112C44CE"/>
    <w:rsid w:val="112E5A3C"/>
    <w:rsid w:val="11801CFE"/>
    <w:rsid w:val="11B75631"/>
    <w:rsid w:val="12136F08"/>
    <w:rsid w:val="1215451A"/>
    <w:rsid w:val="121C3AE2"/>
    <w:rsid w:val="1221034D"/>
    <w:rsid w:val="122832BC"/>
    <w:rsid w:val="12424510"/>
    <w:rsid w:val="12427D19"/>
    <w:rsid w:val="125753ED"/>
    <w:rsid w:val="129064CA"/>
    <w:rsid w:val="12F57B08"/>
    <w:rsid w:val="13045F07"/>
    <w:rsid w:val="137C2602"/>
    <w:rsid w:val="13836D63"/>
    <w:rsid w:val="1391112C"/>
    <w:rsid w:val="1392693A"/>
    <w:rsid w:val="13B01A86"/>
    <w:rsid w:val="13CE7C7C"/>
    <w:rsid w:val="13F16F7F"/>
    <w:rsid w:val="13F34CB0"/>
    <w:rsid w:val="13F859C9"/>
    <w:rsid w:val="142533CE"/>
    <w:rsid w:val="143D4512"/>
    <w:rsid w:val="14415585"/>
    <w:rsid w:val="147263F8"/>
    <w:rsid w:val="149257BD"/>
    <w:rsid w:val="14E30E56"/>
    <w:rsid w:val="14E948BB"/>
    <w:rsid w:val="15413E07"/>
    <w:rsid w:val="154264FF"/>
    <w:rsid w:val="154517AD"/>
    <w:rsid w:val="1569672C"/>
    <w:rsid w:val="15933278"/>
    <w:rsid w:val="15CB1699"/>
    <w:rsid w:val="15DB7FC3"/>
    <w:rsid w:val="15DC190D"/>
    <w:rsid w:val="15EF28B6"/>
    <w:rsid w:val="16066999"/>
    <w:rsid w:val="16181B84"/>
    <w:rsid w:val="161908D5"/>
    <w:rsid w:val="162B0984"/>
    <w:rsid w:val="169C475B"/>
    <w:rsid w:val="16A8703D"/>
    <w:rsid w:val="16BE1B76"/>
    <w:rsid w:val="16D76574"/>
    <w:rsid w:val="16DD22F2"/>
    <w:rsid w:val="16F85FFE"/>
    <w:rsid w:val="170472F9"/>
    <w:rsid w:val="170E6D6A"/>
    <w:rsid w:val="17193337"/>
    <w:rsid w:val="171F44D3"/>
    <w:rsid w:val="17233EB8"/>
    <w:rsid w:val="178B1ACD"/>
    <w:rsid w:val="17971BF4"/>
    <w:rsid w:val="17AA4DED"/>
    <w:rsid w:val="17B159D1"/>
    <w:rsid w:val="17BA6877"/>
    <w:rsid w:val="17BB2497"/>
    <w:rsid w:val="17D56265"/>
    <w:rsid w:val="17EF55AF"/>
    <w:rsid w:val="17F032CA"/>
    <w:rsid w:val="17F0614A"/>
    <w:rsid w:val="18380A93"/>
    <w:rsid w:val="18695324"/>
    <w:rsid w:val="188B3AC1"/>
    <w:rsid w:val="18960B2E"/>
    <w:rsid w:val="18B86E66"/>
    <w:rsid w:val="18C91969"/>
    <w:rsid w:val="18CF5E11"/>
    <w:rsid w:val="18E1189D"/>
    <w:rsid w:val="18E427BE"/>
    <w:rsid w:val="190D5B2F"/>
    <w:rsid w:val="19343793"/>
    <w:rsid w:val="19452E7E"/>
    <w:rsid w:val="199D7661"/>
    <w:rsid w:val="19A10DDE"/>
    <w:rsid w:val="19A7109E"/>
    <w:rsid w:val="19A957B7"/>
    <w:rsid w:val="19B03C60"/>
    <w:rsid w:val="19BE30A3"/>
    <w:rsid w:val="19CC7890"/>
    <w:rsid w:val="1A1772BA"/>
    <w:rsid w:val="1A2E6497"/>
    <w:rsid w:val="1A597411"/>
    <w:rsid w:val="1A9D76B1"/>
    <w:rsid w:val="1AA37ECC"/>
    <w:rsid w:val="1AAF61EA"/>
    <w:rsid w:val="1AB90E87"/>
    <w:rsid w:val="1AFB0DE6"/>
    <w:rsid w:val="1B0D6E93"/>
    <w:rsid w:val="1B2317AB"/>
    <w:rsid w:val="1B2F73C2"/>
    <w:rsid w:val="1B4034C0"/>
    <w:rsid w:val="1B806119"/>
    <w:rsid w:val="1B8331CF"/>
    <w:rsid w:val="1BB85C31"/>
    <w:rsid w:val="1BEF05D2"/>
    <w:rsid w:val="1C097A94"/>
    <w:rsid w:val="1C0A55B1"/>
    <w:rsid w:val="1C0D4927"/>
    <w:rsid w:val="1C111C30"/>
    <w:rsid w:val="1C7559A9"/>
    <w:rsid w:val="1D0115B9"/>
    <w:rsid w:val="1D0B0032"/>
    <w:rsid w:val="1D422F43"/>
    <w:rsid w:val="1D672F3D"/>
    <w:rsid w:val="1D8A3C77"/>
    <w:rsid w:val="1D914E26"/>
    <w:rsid w:val="1D967931"/>
    <w:rsid w:val="1DB3270B"/>
    <w:rsid w:val="1DB73C5E"/>
    <w:rsid w:val="1DBA380E"/>
    <w:rsid w:val="1DE460FD"/>
    <w:rsid w:val="1DEFEE03"/>
    <w:rsid w:val="1E28241A"/>
    <w:rsid w:val="1E654346"/>
    <w:rsid w:val="1E6661A0"/>
    <w:rsid w:val="1E7D545B"/>
    <w:rsid w:val="1E8801E3"/>
    <w:rsid w:val="1ED32DA9"/>
    <w:rsid w:val="1EFB056C"/>
    <w:rsid w:val="1F310DC0"/>
    <w:rsid w:val="1F585F9B"/>
    <w:rsid w:val="1F6FE9E0"/>
    <w:rsid w:val="1F771F1E"/>
    <w:rsid w:val="1FA56F14"/>
    <w:rsid w:val="1FB6256B"/>
    <w:rsid w:val="1FBB7925"/>
    <w:rsid w:val="1FCF02F4"/>
    <w:rsid w:val="1FDE1E07"/>
    <w:rsid w:val="1FE35F2C"/>
    <w:rsid w:val="1FE7B92E"/>
    <w:rsid w:val="202D068F"/>
    <w:rsid w:val="204E4566"/>
    <w:rsid w:val="208316B2"/>
    <w:rsid w:val="208C09E0"/>
    <w:rsid w:val="20B22D45"/>
    <w:rsid w:val="20DF0DDA"/>
    <w:rsid w:val="20E56811"/>
    <w:rsid w:val="20F77815"/>
    <w:rsid w:val="20FC1A7D"/>
    <w:rsid w:val="212B1BF6"/>
    <w:rsid w:val="212C69B7"/>
    <w:rsid w:val="212D13BA"/>
    <w:rsid w:val="21626F8F"/>
    <w:rsid w:val="218B11D5"/>
    <w:rsid w:val="21E8591F"/>
    <w:rsid w:val="21FA6C72"/>
    <w:rsid w:val="220B0CBD"/>
    <w:rsid w:val="22120A30"/>
    <w:rsid w:val="22277F8B"/>
    <w:rsid w:val="226C5AB3"/>
    <w:rsid w:val="22965ACB"/>
    <w:rsid w:val="22A276A0"/>
    <w:rsid w:val="22AE7AE3"/>
    <w:rsid w:val="22B1718E"/>
    <w:rsid w:val="22B2621F"/>
    <w:rsid w:val="22B56E41"/>
    <w:rsid w:val="22BF3326"/>
    <w:rsid w:val="22D7552B"/>
    <w:rsid w:val="22DE013C"/>
    <w:rsid w:val="22EB6BB4"/>
    <w:rsid w:val="23202A44"/>
    <w:rsid w:val="232F560D"/>
    <w:rsid w:val="23331695"/>
    <w:rsid w:val="23466278"/>
    <w:rsid w:val="23680925"/>
    <w:rsid w:val="236958AD"/>
    <w:rsid w:val="237B2B35"/>
    <w:rsid w:val="237E03EF"/>
    <w:rsid w:val="239C5666"/>
    <w:rsid w:val="23A11A4E"/>
    <w:rsid w:val="23B83581"/>
    <w:rsid w:val="23F06BE6"/>
    <w:rsid w:val="23F602DE"/>
    <w:rsid w:val="23F60EA9"/>
    <w:rsid w:val="24154463"/>
    <w:rsid w:val="24223B36"/>
    <w:rsid w:val="244D6B68"/>
    <w:rsid w:val="247309AE"/>
    <w:rsid w:val="247679D1"/>
    <w:rsid w:val="24915605"/>
    <w:rsid w:val="24926C6F"/>
    <w:rsid w:val="24CB014C"/>
    <w:rsid w:val="24CC2178"/>
    <w:rsid w:val="24D1327D"/>
    <w:rsid w:val="24D929EB"/>
    <w:rsid w:val="24DB3424"/>
    <w:rsid w:val="24EB4090"/>
    <w:rsid w:val="250020A7"/>
    <w:rsid w:val="250717FC"/>
    <w:rsid w:val="250F30ED"/>
    <w:rsid w:val="251915DC"/>
    <w:rsid w:val="25211A86"/>
    <w:rsid w:val="2521305E"/>
    <w:rsid w:val="25303482"/>
    <w:rsid w:val="25520012"/>
    <w:rsid w:val="25604810"/>
    <w:rsid w:val="256B3B1C"/>
    <w:rsid w:val="259E5D59"/>
    <w:rsid w:val="25C2185E"/>
    <w:rsid w:val="25F61AF2"/>
    <w:rsid w:val="260E5B92"/>
    <w:rsid w:val="261615E1"/>
    <w:rsid w:val="26506AAF"/>
    <w:rsid w:val="265503D1"/>
    <w:rsid w:val="265901A2"/>
    <w:rsid w:val="26742938"/>
    <w:rsid w:val="26B414BC"/>
    <w:rsid w:val="26BF3C81"/>
    <w:rsid w:val="26E4799C"/>
    <w:rsid w:val="26EB3FEE"/>
    <w:rsid w:val="26ED51C6"/>
    <w:rsid w:val="27085BD9"/>
    <w:rsid w:val="271E6883"/>
    <w:rsid w:val="27211DB3"/>
    <w:rsid w:val="274675BC"/>
    <w:rsid w:val="275536A3"/>
    <w:rsid w:val="275E06C0"/>
    <w:rsid w:val="27641F23"/>
    <w:rsid w:val="27661230"/>
    <w:rsid w:val="27785D29"/>
    <w:rsid w:val="277E5B18"/>
    <w:rsid w:val="27814B9D"/>
    <w:rsid w:val="27815C89"/>
    <w:rsid w:val="27C54E4D"/>
    <w:rsid w:val="27D50BF7"/>
    <w:rsid w:val="281F3E1C"/>
    <w:rsid w:val="283607CE"/>
    <w:rsid w:val="285C53C9"/>
    <w:rsid w:val="288E5D0A"/>
    <w:rsid w:val="28BC6286"/>
    <w:rsid w:val="28BE55B2"/>
    <w:rsid w:val="28D339E7"/>
    <w:rsid w:val="28E327D6"/>
    <w:rsid w:val="28F87FE4"/>
    <w:rsid w:val="291A3CD2"/>
    <w:rsid w:val="294331BE"/>
    <w:rsid w:val="29562EE8"/>
    <w:rsid w:val="297136F1"/>
    <w:rsid w:val="298C15B9"/>
    <w:rsid w:val="299263AD"/>
    <w:rsid w:val="299D05F8"/>
    <w:rsid w:val="29CA716E"/>
    <w:rsid w:val="29CD5F79"/>
    <w:rsid w:val="29D50196"/>
    <w:rsid w:val="29E149EF"/>
    <w:rsid w:val="29FB77BF"/>
    <w:rsid w:val="2A014B03"/>
    <w:rsid w:val="2A13787A"/>
    <w:rsid w:val="2A1A446A"/>
    <w:rsid w:val="2A2801FE"/>
    <w:rsid w:val="2A5A5FB8"/>
    <w:rsid w:val="2A7744C7"/>
    <w:rsid w:val="2AA05558"/>
    <w:rsid w:val="2ACB6EF1"/>
    <w:rsid w:val="2B177EC4"/>
    <w:rsid w:val="2B2516F0"/>
    <w:rsid w:val="2B432FEF"/>
    <w:rsid w:val="2B4D1B88"/>
    <w:rsid w:val="2B5A6237"/>
    <w:rsid w:val="2B7043EC"/>
    <w:rsid w:val="2B764993"/>
    <w:rsid w:val="2B8754B1"/>
    <w:rsid w:val="2BAD2C7C"/>
    <w:rsid w:val="2BAE5BA0"/>
    <w:rsid w:val="2BC657B3"/>
    <w:rsid w:val="2BD00D45"/>
    <w:rsid w:val="2BD22273"/>
    <w:rsid w:val="2BD93550"/>
    <w:rsid w:val="2BD95FC1"/>
    <w:rsid w:val="2C044692"/>
    <w:rsid w:val="2C0A773E"/>
    <w:rsid w:val="2C3F49FC"/>
    <w:rsid w:val="2C7C2F75"/>
    <w:rsid w:val="2CE46FC8"/>
    <w:rsid w:val="2D0E57F3"/>
    <w:rsid w:val="2D1207DF"/>
    <w:rsid w:val="2D7B1047"/>
    <w:rsid w:val="2DB54AD2"/>
    <w:rsid w:val="2DC42FCA"/>
    <w:rsid w:val="2DCA6674"/>
    <w:rsid w:val="2DDE1C1D"/>
    <w:rsid w:val="2DEA64FD"/>
    <w:rsid w:val="2DF57AC8"/>
    <w:rsid w:val="2E367D56"/>
    <w:rsid w:val="2E435648"/>
    <w:rsid w:val="2E455117"/>
    <w:rsid w:val="2E5808B5"/>
    <w:rsid w:val="2E5955B9"/>
    <w:rsid w:val="2E875C98"/>
    <w:rsid w:val="2EA84CFF"/>
    <w:rsid w:val="2ECC3A44"/>
    <w:rsid w:val="2EEC4278"/>
    <w:rsid w:val="2EF9369B"/>
    <w:rsid w:val="2F3C37E3"/>
    <w:rsid w:val="2F550D76"/>
    <w:rsid w:val="2F5F7C5E"/>
    <w:rsid w:val="2FB239F6"/>
    <w:rsid w:val="2FBC358B"/>
    <w:rsid w:val="2FC51D3F"/>
    <w:rsid w:val="2FC9255B"/>
    <w:rsid w:val="2FE53457"/>
    <w:rsid w:val="2FFC58B0"/>
    <w:rsid w:val="30104C45"/>
    <w:rsid w:val="30450CCE"/>
    <w:rsid w:val="30596616"/>
    <w:rsid w:val="307C31CF"/>
    <w:rsid w:val="30856AAA"/>
    <w:rsid w:val="308D62CD"/>
    <w:rsid w:val="30A343F2"/>
    <w:rsid w:val="30B96BEE"/>
    <w:rsid w:val="313023E5"/>
    <w:rsid w:val="314D460B"/>
    <w:rsid w:val="318327F0"/>
    <w:rsid w:val="31903A9C"/>
    <w:rsid w:val="31947263"/>
    <w:rsid w:val="31A678A1"/>
    <w:rsid w:val="31D62EA2"/>
    <w:rsid w:val="31F7369C"/>
    <w:rsid w:val="321917E5"/>
    <w:rsid w:val="321D093C"/>
    <w:rsid w:val="321E2704"/>
    <w:rsid w:val="327B4851"/>
    <w:rsid w:val="328C2C8B"/>
    <w:rsid w:val="329024FA"/>
    <w:rsid w:val="32BE4DDB"/>
    <w:rsid w:val="32C9591F"/>
    <w:rsid w:val="331F3CF9"/>
    <w:rsid w:val="332C7083"/>
    <w:rsid w:val="3359056D"/>
    <w:rsid w:val="336F7838"/>
    <w:rsid w:val="33742249"/>
    <w:rsid w:val="33A44336"/>
    <w:rsid w:val="33A56594"/>
    <w:rsid w:val="33A65666"/>
    <w:rsid w:val="33A87BE6"/>
    <w:rsid w:val="33EC46D6"/>
    <w:rsid w:val="340B3AB2"/>
    <w:rsid w:val="343F32B0"/>
    <w:rsid w:val="3460587B"/>
    <w:rsid w:val="34AA375A"/>
    <w:rsid w:val="34AF7790"/>
    <w:rsid w:val="34B16932"/>
    <w:rsid w:val="34B71A13"/>
    <w:rsid w:val="34C24736"/>
    <w:rsid w:val="35022A7B"/>
    <w:rsid w:val="351D0672"/>
    <w:rsid w:val="352F4F5D"/>
    <w:rsid w:val="35505DCE"/>
    <w:rsid w:val="356E3565"/>
    <w:rsid w:val="35A82547"/>
    <w:rsid w:val="35B040A5"/>
    <w:rsid w:val="35EF52BF"/>
    <w:rsid w:val="35F4601E"/>
    <w:rsid w:val="36061A00"/>
    <w:rsid w:val="362E2EF3"/>
    <w:rsid w:val="363508B4"/>
    <w:rsid w:val="3650591D"/>
    <w:rsid w:val="3687288F"/>
    <w:rsid w:val="368F181A"/>
    <w:rsid w:val="36A8311F"/>
    <w:rsid w:val="36AD5901"/>
    <w:rsid w:val="36EC7A5F"/>
    <w:rsid w:val="36F51781"/>
    <w:rsid w:val="36F92607"/>
    <w:rsid w:val="36FE09F7"/>
    <w:rsid w:val="36FE7B88"/>
    <w:rsid w:val="371165D8"/>
    <w:rsid w:val="37176A3E"/>
    <w:rsid w:val="372068EB"/>
    <w:rsid w:val="37297D33"/>
    <w:rsid w:val="374A391C"/>
    <w:rsid w:val="37BE5400"/>
    <w:rsid w:val="37F37A5D"/>
    <w:rsid w:val="37FA36B8"/>
    <w:rsid w:val="38013A7D"/>
    <w:rsid w:val="3866286F"/>
    <w:rsid w:val="386E277C"/>
    <w:rsid w:val="387073C4"/>
    <w:rsid w:val="38BC6F1C"/>
    <w:rsid w:val="38CA640F"/>
    <w:rsid w:val="38DE50F6"/>
    <w:rsid w:val="38EA3725"/>
    <w:rsid w:val="38FC2BD1"/>
    <w:rsid w:val="391B34E3"/>
    <w:rsid w:val="39563FFE"/>
    <w:rsid w:val="396B11B3"/>
    <w:rsid w:val="397A47C0"/>
    <w:rsid w:val="398E74B9"/>
    <w:rsid w:val="39AD0D3B"/>
    <w:rsid w:val="39DB197A"/>
    <w:rsid w:val="39FF09EB"/>
    <w:rsid w:val="3A2C4A5F"/>
    <w:rsid w:val="3AAC57E1"/>
    <w:rsid w:val="3AAD18FA"/>
    <w:rsid w:val="3AAE765B"/>
    <w:rsid w:val="3ABB2CAB"/>
    <w:rsid w:val="3AD3337F"/>
    <w:rsid w:val="3AEA7B09"/>
    <w:rsid w:val="3B070C73"/>
    <w:rsid w:val="3B1876EE"/>
    <w:rsid w:val="3B2E4257"/>
    <w:rsid w:val="3B451454"/>
    <w:rsid w:val="3B4A0FE0"/>
    <w:rsid w:val="3B883EB4"/>
    <w:rsid w:val="3B972569"/>
    <w:rsid w:val="3BB15338"/>
    <w:rsid w:val="3BB56D28"/>
    <w:rsid w:val="3BC3230A"/>
    <w:rsid w:val="3BCD2CF8"/>
    <w:rsid w:val="3BEE4CE3"/>
    <w:rsid w:val="3C250CDC"/>
    <w:rsid w:val="3C3C568F"/>
    <w:rsid w:val="3C40147D"/>
    <w:rsid w:val="3C5621A9"/>
    <w:rsid w:val="3C7D3D64"/>
    <w:rsid w:val="3C7E5F04"/>
    <w:rsid w:val="3C83259E"/>
    <w:rsid w:val="3CA6043E"/>
    <w:rsid w:val="3CA866CF"/>
    <w:rsid w:val="3CB123AF"/>
    <w:rsid w:val="3CBA0F67"/>
    <w:rsid w:val="3CCF60D7"/>
    <w:rsid w:val="3D155A68"/>
    <w:rsid w:val="3D386B85"/>
    <w:rsid w:val="3D391DFE"/>
    <w:rsid w:val="3D435EE9"/>
    <w:rsid w:val="3D6D72BF"/>
    <w:rsid w:val="3DEE71BD"/>
    <w:rsid w:val="3DF5263D"/>
    <w:rsid w:val="3E3317EB"/>
    <w:rsid w:val="3E49578A"/>
    <w:rsid w:val="3E4F6FAE"/>
    <w:rsid w:val="3E6C20B9"/>
    <w:rsid w:val="3E7B337F"/>
    <w:rsid w:val="3E8D4098"/>
    <w:rsid w:val="3EAD7EE3"/>
    <w:rsid w:val="3EBD76BA"/>
    <w:rsid w:val="3ECE6C80"/>
    <w:rsid w:val="3ED107DE"/>
    <w:rsid w:val="3ED60BC7"/>
    <w:rsid w:val="3EE02269"/>
    <w:rsid w:val="3EF00DF2"/>
    <w:rsid w:val="3F212216"/>
    <w:rsid w:val="3F346ED4"/>
    <w:rsid w:val="3F406263"/>
    <w:rsid w:val="3F4B37B1"/>
    <w:rsid w:val="3F6567C7"/>
    <w:rsid w:val="3F8101FB"/>
    <w:rsid w:val="3FE40881"/>
    <w:rsid w:val="3FEC7E68"/>
    <w:rsid w:val="400B64CD"/>
    <w:rsid w:val="400E7FF2"/>
    <w:rsid w:val="40237288"/>
    <w:rsid w:val="403537C3"/>
    <w:rsid w:val="403E4214"/>
    <w:rsid w:val="404021CA"/>
    <w:rsid w:val="406348E9"/>
    <w:rsid w:val="40893EA9"/>
    <w:rsid w:val="40BF0D70"/>
    <w:rsid w:val="40CB3F25"/>
    <w:rsid w:val="40D2481F"/>
    <w:rsid w:val="40DA6D41"/>
    <w:rsid w:val="411D676F"/>
    <w:rsid w:val="414542E3"/>
    <w:rsid w:val="414C1B33"/>
    <w:rsid w:val="415A1358"/>
    <w:rsid w:val="417137EB"/>
    <w:rsid w:val="41A0133D"/>
    <w:rsid w:val="41A531AF"/>
    <w:rsid w:val="41A87ADC"/>
    <w:rsid w:val="41BE1EE4"/>
    <w:rsid w:val="41E679DD"/>
    <w:rsid w:val="41F52153"/>
    <w:rsid w:val="423A5C3F"/>
    <w:rsid w:val="4244554A"/>
    <w:rsid w:val="42445CFE"/>
    <w:rsid w:val="4251266C"/>
    <w:rsid w:val="425A1F49"/>
    <w:rsid w:val="425E396B"/>
    <w:rsid w:val="428731B6"/>
    <w:rsid w:val="42AA2EB0"/>
    <w:rsid w:val="42AD7F18"/>
    <w:rsid w:val="42B305E4"/>
    <w:rsid w:val="42E30F88"/>
    <w:rsid w:val="42E83682"/>
    <w:rsid w:val="42FD1060"/>
    <w:rsid w:val="4309479E"/>
    <w:rsid w:val="431F2C42"/>
    <w:rsid w:val="43215639"/>
    <w:rsid w:val="43553364"/>
    <w:rsid w:val="436D0EF6"/>
    <w:rsid w:val="437360AD"/>
    <w:rsid w:val="438318ED"/>
    <w:rsid w:val="438E1CDD"/>
    <w:rsid w:val="43925E04"/>
    <w:rsid w:val="43A46989"/>
    <w:rsid w:val="43BB335E"/>
    <w:rsid w:val="43C50C5D"/>
    <w:rsid w:val="43D65301"/>
    <w:rsid w:val="43DA7A56"/>
    <w:rsid w:val="43F225DB"/>
    <w:rsid w:val="44082238"/>
    <w:rsid w:val="444D0AA3"/>
    <w:rsid w:val="444D13F4"/>
    <w:rsid w:val="44537CF2"/>
    <w:rsid w:val="447A5DF7"/>
    <w:rsid w:val="447C5C0C"/>
    <w:rsid w:val="4480532C"/>
    <w:rsid w:val="44B83AD3"/>
    <w:rsid w:val="44E31489"/>
    <w:rsid w:val="44F31163"/>
    <w:rsid w:val="451D162A"/>
    <w:rsid w:val="454E21D9"/>
    <w:rsid w:val="459462E8"/>
    <w:rsid w:val="45A751F6"/>
    <w:rsid w:val="45E6392D"/>
    <w:rsid w:val="45EF7A82"/>
    <w:rsid w:val="45F758BF"/>
    <w:rsid w:val="460C2F78"/>
    <w:rsid w:val="46184D87"/>
    <w:rsid w:val="465F1989"/>
    <w:rsid w:val="4671575E"/>
    <w:rsid w:val="467E2CF4"/>
    <w:rsid w:val="467F0C36"/>
    <w:rsid w:val="46925100"/>
    <w:rsid w:val="46AA540F"/>
    <w:rsid w:val="46B10501"/>
    <w:rsid w:val="46BD69D4"/>
    <w:rsid w:val="46EA3301"/>
    <w:rsid w:val="46F4234F"/>
    <w:rsid w:val="46F73F6D"/>
    <w:rsid w:val="470A72FF"/>
    <w:rsid w:val="470B0C11"/>
    <w:rsid w:val="47190D0B"/>
    <w:rsid w:val="471D3B86"/>
    <w:rsid w:val="471F50DC"/>
    <w:rsid w:val="47391652"/>
    <w:rsid w:val="47395015"/>
    <w:rsid w:val="473D3D41"/>
    <w:rsid w:val="473D5C85"/>
    <w:rsid w:val="47522159"/>
    <w:rsid w:val="47627ED7"/>
    <w:rsid w:val="4787143C"/>
    <w:rsid w:val="47A44480"/>
    <w:rsid w:val="47C864AD"/>
    <w:rsid w:val="47DA5E6F"/>
    <w:rsid w:val="47E53D1A"/>
    <w:rsid w:val="47E63F0D"/>
    <w:rsid w:val="47EF0FFF"/>
    <w:rsid w:val="47F80F8F"/>
    <w:rsid w:val="47FC0D80"/>
    <w:rsid w:val="480A7075"/>
    <w:rsid w:val="482D4EC2"/>
    <w:rsid w:val="484031B7"/>
    <w:rsid w:val="48BD1F88"/>
    <w:rsid w:val="48D23C7A"/>
    <w:rsid w:val="48DB6016"/>
    <w:rsid w:val="490B3853"/>
    <w:rsid w:val="492159B0"/>
    <w:rsid w:val="49620525"/>
    <w:rsid w:val="49941663"/>
    <w:rsid w:val="49B07784"/>
    <w:rsid w:val="49B7234C"/>
    <w:rsid w:val="49BB5675"/>
    <w:rsid w:val="49C11BD9"/>
    <w:rsid w:val="49C93D6C"/>
    <w:rsid w:val="49D06FF9"/>
    <w:rsid w:val="49DA280F"/>
    <w:rsid w:val="49F32373"/>
    <w:rsid w:val="4A013EAD"/>
    <w:rsid w:val="4A02227E"/>
    <w:rsid w:val="4A3B4A53"/>
    <w:rsid w:val="4A63582A"/>
    <w:rsid w:val="4A6943E9"/>
    <w:rsid w:val="4A6E7B9B"/>
    <w:rsid w:val="4AA80FDC"/>
    <w:rsid w:val="4AB97A6D"/>
    <w:rsid w:val="4AD348C7"/>
    <w:rsid w:val="4ADF4A7B"/>
    <w:rsid w:val="4AE251D6"/>
    <w:rsid w:val="4B2C48A1"/>
    <w:rsid w:val="4B307B9F"/>
    <w:rsid w:val="4B436D39"/>
    <w:rsid w:val="4B480D1C"/>
    <w:rsid w:val="4B82733F"/>
    <w:rsid w:val="4B92371B"/>
    <w:rsid w:val="4B982A2C"/>
    <w:rsid w:val="4B9E3339"/>
    <w:rsid w:val="4BBB0687"/>
    <w:rsid w:val="4BCB7027"/>
    <w:rsid w:val="4BF6D67A"/>
    <w:rsid w:val="4BFA6ECF"/>
    <w:rsid w:val="4C314396"/>
    <w:rsid w:val="4C467754"/>
    <w:rsid w:val="4C80624F"/>
    <w:rsid w:val="4CB5641A"/>
    <w:rsid w:val="4CD060F6"/>
    <w:rsid w:val="4CDA6061"/>
    <w:rsid w:val="4CF01D17"/>
    <w:rsid w:val="4D2E601B"/>
    <w:rsid w:val="4D4A3EF8"/>
    <w:rsid w:val="4D6715EE"/>
    <w:rsid w:val="4D7F2404"/>
    <w:rsid w:val="4D832181"/>
    <w:rsid w:val="4DEE1606"/>
    <w:rsid w:val="4DF606F5"/>
    <w:rsid w:val="4DF821B7"/>
    <w:rsid w:val="4E030489"/>
    <w:rsid w:val="4E3E0B60"/>
    <w:rsid w:val="4E4A3D94"/>
    <w:rsid w:val="4E5763E1"/>
    <w:rsid w:val="4E5D4C32"/>
    <w:rsid w:val="4E6843DA"/>
    <w:rsid w:val="4E8A5B3B"/>
    <w:rsid w:val="4EAF47AF"/>
    <w:rsid w:val="4EBD36B8"/>
    <w:rsid w:val="4EF26F38"/>
    <w:rsid w:val="4F1561C6"/>
    <w:rsid w:val="4F343321"/>
    <w:rsid w:val="4F561876"/>
    <w:rsid w:val="4F8622B3"/>
    <w:rsid w:val="4FC265BC"/>
    <w:rsid w:val="4FC46BD4"/>
    <w:rsid w:val="4FC80D5F"/>
    <w:rsid w:val="4FC85589"/>
    <w:rsid w:val="4FD51F50"/>
    <w:rsid w:val="500010FC"/>
    <w:rsid w:val="50101C30"/>
    <w:rsid w:val="501B6F18"/>
    <w:rsid w:val="50304EFB"/>
    <w:rsid w:val="504D2FB2"/>
    <w:rsid w:val="506F5F89"/>
    <w:rsid w:val="50792293"/>
    <w:rsid w:val="50814284"/>
    <w:rsid w:val="50A51976"/>
    <w:rsid w:val="50EC6A03"/>
    <w:rsid w:val="50EF04D6"/>
    <w:rsid w:val="510B076E"/>
    <w:rsid w:val="511C7AD6"/>
    <w:rsid w:val="51201954"/>
    <w:rsid w:val="51460C2A"/>
    <w:rsid w:val="515B4352"/>
    <w:rsid w:val="515D37A5"/>
    <w:rsid w:val="5166798D"/>
    <w:rsid w:val="5169351A"/>
    <w:rsid w:val="516E280C"/>
    <w:rsid w:val="516E55C6"/>
    <w:rsid w:val="51911CEF"/>
    <w:rsid w:val="51AA64C3"/>
    <w:rsid w:val="51B859CD"/>
    <w:rsid w:val="51D23EC9"/>
    <w:rsid w:val="51D92EBD"/>
    <w:rsid w:val="51E079B3"/>
    <w:rsid w:val="51F3036D"/>
    <w:rsid w:val="522E11A9"/>
    <w:rsid w:val="525A6690"/>
    <w:rsid w:val="52690DDA"/>
    <w:rsid w:val="5274095D"/>
    <w:rsid w:val="529055BB"/>
    <w:rsid w:val="529234BA"/>
    <w:rsid w:val="52B22C5D"/>
    <w:rsid w:val="52C330BD"/>
    <w:rsid w:val="52CC3502"/>
    <w:rsid w:val="52EB34C5"/>
    <w:rsid w:val="52F95225"/>
    <w:rsid w:val="532B27FD"/>
    <w:rsid w:val="533237FF"/>
    <w:rsid w:val="533A7FAE"/>
    <w:rsid w:val="536F696E"/>
    <w:rsid w:val="53751166"/>
    <w:rsid w:val="53C961ED"/>
    <w:rsid w:val="53F3134E"/>
    <w:rsid w:val="540231F4"/>
    <w:rsid w:val="540E261D"/>
    <w:rsid w:val="54122D55"/>
    <w:rsid w:val="54144887"/>
    <w:rsid w:val="541472A6"/>
    <w:rsid w:val="541F76D8"/>
    <w:rsid w:val="54292B19"/>
    <w:rsid w:val="543454CA"/>
    <w:rsid w:val="544B179A"/>
    <w:rsid w:val="54641824"/>
    <w:rsid w:val="54A526CC"/>
    <w:rsid w:val="54B22325"/>
    <w:rsid w:val="54C17B3A"/>
    <w:rsid w:val="54EF3035"/>
    <w:rsid w:val="55294E88"/>
    <w:rsid w:val="55365C6C"/>
    <w:rsid w:val="55AA35C8"/>
    <w:rsid w:val="55BA7DFB"/>
    <w:rsid w:val="55F201E0"/>
    <w:rsid w:val="56240FC5"/>
    <w:rsid w:val="56281988"/>
    <w:rsid w:val="56397EE3"/>
    <w:rsid w:val="563C029B"/>
    <w:rsid w:val="564E78FA"/>
    <w:rsid w:val="567C1201"/>
    <w:rsid w:val="568E4424"/>
    <w:rsid w:val="570D697A"/>
    <w:rsid w:val="5723404F"/>
    <w:rsid w:val="5770561F"/>
    <w:rsid w:val="577F7152"/>
    <w:rsid w:val="57A22FFC"/>
    <w:rsid w:val="57A95086"/>
    <w:rsid w:val="57B849E0"/>
    <w:rsid w:val="57CA6DAD"/>
    <w:rsid w:val="57D1548A"/>
    <w:rsid w:val="57FE1968"/>
    <w:rsid w:val="580F671C"/>
    <w:rsid w:val="5815473C"/>
    <w:rsid w:val="58174F00"/>
    <w:rsid w:val="581E7CCF"/>
    <w:rsid w:val="58426E60"/>
    <w:rsid w:val="58526988"/>
    <w:rsid w:val="58537F09"/>
    <w:rsid w:val="58695F72"/>
    <w:rsid w:val="58863091"/>
    <w:rsid w:val="588C689E"/>
    <w:rsid w:val="58A54CD1"/>
    <w:rsid w:val="58A736BF"/>
    <w:rsid w:val="58FC7909"/>
    <w:rsid w:val="58FE77E9"/>
    <w:rsid w:val="59096926"/>
    <w:rsid w:val="591672A7"/>
    <w:rsid w:val="591E6A3C"/>
    <w:rsid w:val="592318B7"/>
    <w:rsid w:val="59627ED0"/>
    <w:rsid w:val="5965436A"/>
    <w:rsid w:val="597541DE"/>
    <w:rsid w:val="59796598"/>
    <w:rsid w:val="59937223"/>
    <w:rsid w:val="59C91AB6"/>
    <w:rsid w:val="59F0408E"/>
    <w:rsid w:val="5A0B0DAC"/>
    <w:rsid w:val="5A3938BF"/>
    <w:rsid w:val="5A3E0C9A"/>
    <w:rsid w:val="5A5B0668"/>
    <w:rsid w:val="5A643048"/>
    <w:rsid w:val="5A734BED"/>
    <w:rsid w:val="5A8D4E15"/>
    <w:rsid w:val="5A8F6C91"/>
    <w:rsid w:val="5AB75FBA"/>
    <w:rsid w:val="5AC87932"/>
    <w:rsid w:val="5AD92FE1"/>
    <w:rsid w:val="5AF171D0"/>
    <w:rsid w:val="5B056078"/>
    <w:rsid w:val="5B162416"/>
    <w:rsid w:val="5B376B40"/>
    <w:rsid w:val="5B7A5FC3"/>
    <w:rsid w:val="5B7C7C2A"/>
    <w:rsid w:val="5B966B02"/>
    <w:rsid w:val="5BAF5063"/>
    <w:rsid w:val="5BD76C89"/>
    <w:rsid w:val="5BE51462"/>
    <w:rsid w:val="5C2A031C"/>
    <w:rsid w:val="5C710A7A"/>
    <w:rsid w:val="5C9149D2"/>
    <w:rsid w:val="5CD95313"/>
    <w:rsid w:val="5CF273FC"/>
    <w:rsid w:val="5CF3602F"/>
    <w:rsid w:val="5D015EB1"/>
    <w:rsid w:val="5D14039E"/>
    <w:rsid w:val="5D1F0A11"/>
    <w:rsid w:val="5D323318"/>
    <w:rsid w:val="5D611689"/>
    <w:rsid w:val="5D673A5F"/>
    <w:rsid w:val="5D7F3C74"/>
    <w:rsid w:val="5D8701D3"/>
    <w:rsid w:val="5DB44EAE"/>
    <w:rsid w:val="5DC521D8"/>
    <w:rsid w:val="5DDA6E3E"/>
    <w:rsid w:val="5E0D0E9F"/>
    <w:rsid w:val="5E3B5CD1"/>
    <w:rsid w:val="5E4D67B9"/>
    <w:rsid w:val="5E593012"/>
    <w:rsid w:val="5E6D4631"/>
    <w:rsid w:val="5E737F44"/>
    <w:rsid w:val="5E791544"/>
    <w:rsid w:val="5E967D85"/>
    <w:rsid w:val="5E9B4596"/>
    <w:rsid w:val="5EA6553F"/>
    <w:rsid w:val="5EB95DFA"/>
    <w:rsid w:val="5EBE1CEE"/>
    <w:rsid w:val="5EDE450B"/>
    <w:rsid w:val="5F286CB9"/>
    <w:rsid w:val="5F2947DE"/>
    <w:rsid w:val="5F67397D"/>
    <w:rsid w:val="5F7C0F37"/>
    <w:rsid w:val="5FBD5F68"/>
    <w:rsid w:val="5FC41C21"/>
    <w:rsid w:val="5FE911E6"/>
    <w:rsid w:val="5FFF4D59"/>
    <w:rsid w:val="601350D1"/>
    <w:rsid w:val="6015068F"/>
    <w:rsid w:val="6036057E"/>
    <w:rsid w:val="6054039A"/>
    <w:rsid w:val="608F6E66"/>
    <w:rsid w:val="60996D7A"/>
    <w:rsid w:val="60B655C1"/>
    <w:rsid w:val="60EE5B98"/>
    <w:rsid w:val="60F44559"/>
    <w:rsid w:val="60FC2773"/>
    <w:rsid w:val="6100220E"/>
    <w:rsid w:val="610A06AB"/>
    <w:rsid w:val="610D471F"/>
    <w:rsid w:val="612B2BA1"/>
    <w:rsid w:val="612F3755"/>
    <w:rsid w:val="614C57FA"/>
    <w:rsid w:val="61682082"/>
    <w:rsid w:val="616F2C86"/>
    <w:rsid w:val="6189146D"/>
    <w:rsid w:val="61EA0141"/>
    <w:rsid w:val="61F57D07"/>
    <w:rsid w:val="61F934C3"/>
    <w:rsid w:val="620302AB"/>
    <w:rsid w:val="62177686"/>
    <w:rsid w:val="6247291A"/>
    <w:rsid w:val="626B78F3"/>
    <w:rsid w:val="629470EE"/>
    <w:rsid w:val="629F5B02"/>
    <w:rsid w:val="62C86F57"/>
    <w:rsid w:val="62FD4ADC"/>
    <w:rsid w:val="6326053E"/>
    <w:rsid w:val="634D72EE"/>
    <w:rsid w:val="63632109"/>
    <w:rsid w:val="636512AB"/>
    <w:rsid w:val="63656E70"/>
    <w:rsid w:val="637864AC"/>
    <w:rsid w:val="639F06EB"/>
    <w:rsid w:val="63A45742"/>
    <w:rsid w:val="63CC3CC2"/>
    <w:rsid w:val="63D122A4"/>
    <w:rsid w:val="63D2141C"/>
    <w:rsid w:val="63F95583"/>
    <w:rsid w:val="63FC5155"/>
    <w:rsid w:val="64022DBE"/>
    <w:rsid w:val="64202F78"/>
    <w:rsid w:val="642044D7"/>
    <w:rsid w:val="64564BE4"/>
    <w:rsid w:val="64685591"/>
    <w:rsid w:val="647C5063"/>
    <w:rsid w:val="64AD58DF"/>
    <w:rsid w:val="64C552F7"/>
    <w:rsid w:val="64CE0E4A"/>
    <w:rsid w:val="64D42703"/>
    <w:rsid w:val="65010D5C"/>
    <w:rsid w:val="652146F8"/>
    <w:rsid w:val="652338F7"/>
    <w:rsid w:val="652F39E6"/>
    <w:rsid w:val="654211CE"/>
    <w:rsid w:val="65637DE9"/>
    <w:rsid w:val="658E28E5"/>
    <w:rsid w:val="65A810BC"/>
    <w:rsid w:val="65BA3262"/>
    <w:rsid w:val="65D70D05"/>
    <w:rsid w:val="65F945EE"/>
    <w:rsid w:val="662F4504"/>
    <w:rsid w:val="66453C52"/>
    <w:rsid w:val="666261BC"/>
    <w:rsid w:val="667D3360"/>
    <w:rsid w:val="668E3DB7"/>
    <w:rsid w:val="66AE5432"/>
    <w:rsid w:val="66DC146C"/>
    <w:rsid w:val="66EF6E61"/>
    <w:rsid w:val="66FE7868"/>
    <w:rsid w:val="670B460F"/>
    <w:rsid w:val="672177BF"/>
    <w:rsid w:val="673D3B1A"/>
    <w:rsid w:val="675B4435"/>
    <w:rsid w:val="677A57A6"/>
    <w:rsid w:val="678773F6"/>
    <w:rsid w:val="67B77CD4"/>
    <w:rsid w:val="67F80735"/>
    <w:rsid w:val="68017308"/>
    <w:rsid w:val="68083E3E"/>
    <w:rsid w:val="68272C9C"/>
    <w:rsid w:val="6851030D"/>
    <w:rsid w:val="68586BAC"/>
    <w:rsid w:val="68682DC4"/>
    <w:rsid w:val="68A62FD6"/>
    <w:rsid w:val="68C248E8"/>
    <w:rsid w:val="68C3548A"/>
    <w:rsid w:val="68DD1014"/>
    <w:rsid w:val="691E0168"/>
    <w:rsid w:val="69376C84"/>
    <w:rsid w:val="69471EDF"/>
    <w:rsid w:val="69474472"/>
    <w:rsid w:val="69581125"/>
    <w:rsid w:val="697120C7"/>
    <w:rsid w:val="69B80D41"/>
    <w:rsid w:val="69D816E3"/>
    <w:rsid w:val="6A017DA7"/>
    <w:rsid w:val="6A1D690C"/>
    <w:rsid w:val="6A300593"/>
    <w:rsid w:val="6A392C18"/>
    <w:rsid w:val="6A581179"/>
    <w:rsid w:val="6A750E4B"/>
    <w:rsid w:val="6ABB06D0"/>
    <w:rsid w:val="6ACC4290"/>
    <w:rsid w:val="6AD206C3"/>
    <w:rsid w:val="6AF860F9"/>
    <w:rsid w:val="6B1D75FE"/>
    <w:rsid w:val="6B211C5F"/>
    <w:rsid w:val="6B444B17"/>
    <w:rsid w:val="6B8A1516"/>
    <w:rsid w:val="6B8C4F8E"/>
    <w:rsid w:val="6BC72F11"/>
    <w:rsid w:val="6BF33BC7"/>
    <w:rsid w:val="6C2C2FA2"/>
    <w:rsid w:val="6C341CB6"/>
    <w:rsid w:val="6C60238C"/>
    <w:rsid w:val="6C7A72B8"/>
    <w:rsid w:val="6C8321A4"/>
    <w:rsid w:val="6C9D60B5"/>
    <w:rsid w:val="6CC36AA6"/>
    <w:rsid w:val="6D115576"/>
    <w:rsid w:val="6D292F93"/>
    <w:rsid w:val="6D357AAB"/>
    <w:rsid w:val="6D4D768C"/>
    <w:rsid w:val="6D536317"/>
    <w:rsid w:val="6D5A74EA"/>
    <w:rsid w:val="6D5F0917"/>
    <w:rsid w:val="6D766754"/>
    <w:rsid w:val="6D863E4D"/>
    <w:rsid w:val="6D905863"/>
    <w:rsid w:val="6DC46C3C"/>
    <w:rsid w:val="6DE92FEA"/>
    <w:rsid w:val="6E08072B"/>
    <w:rsid w:val="6E0C6DF8"/>
    <w:rsid w:val="6E1570A9"/>
    <w:rsid w:val="6E2F7BCE"/>
    <w:rsid w:val="6E3B5D11"/>
    <w:rsid w:val="6E4F7EF4"/>
    <w:rsid w:val="6E581AF0"/>
    <w:rsid w:val="6E5A4F4A"/>
    <w:rsid w:val="6E6735AB"/>
    <w:rsid w:val="6E7A741E"/>
    <w:rsid w:val="6E980521"/>
    <w:rsid w:val="6EC13749"/>
    <w:rsid w:val="6ECC5218"/>
    <w:rsid w:val="6ED9423C"/>
    <w:rsid w:val="6F0B66C6"/>
    <w:rsid w:val="6F1A538A"/>
    <w:rsid w:val="6F1A64B9"/>
    <w:rsid w:val="6F344637"/>
    <w:rsid w:val="6F556819"/>
    <w:rsid w:val="6F5C4D08"/>
    <w:rsid w:val="6F6D11D3"/>
    <w:rsid w:val="6F8C5FF1"/>
    <w:rsid w:val="6F8F0AB4"/>
    <w:rsid w:val="6F91620F"/>
    <w:rsid w:val="6FAC66E4"/>
    <w:rsid w:val="6FB66E75"/>
    <w:rsid w:val="6FC8516B"/>
    <w:rsid w:val="6FC91C27"/>
    <w:rsid w:val="6FDE64AB"/>
    <w:rsid w:val="6FFA5601"/>
    <w:rsid w:val="701810A7"/>
    <w:rsid w:val="70232704"/>
    <w:rsid w:val="70243896"/>
    <w:rsid w:val="703D3A7D"/>
    <w:rsid w:val="70521A1F"/>
    <w:rsid w:val="707B24F6"/>
    <w:rsid w:val="70A46FB1"/>
    <w:rsid w:val="70AE5798"/>
    <w:rsid w:val="70AF61F7"/>
    <w:rsid w:val="70C30543"/>
    <w:rsid w:val="70C91FBE"/>
    <w:rsid w:val="70D205F1"/>
    <w:rsid w:val="70E156D1"/>
    <w:rsid w:val="70E26619"/>
    <w:rsid w:val="70F50DA7"/>
    <w:rsid w:val="70FF548F"/>
    <w:rsid w:val="71075FD4"/>
    <w:rsid w:val="71241A6C"/>
    <w:rsid w:val="71560F08"/>
    <w:rsid w:val="71845AD4"/>
    <w:rsid w:val="71915F66"/>
    <w:rsid w:val="71A75AD5"/>
    <w:rsid w:val="71A95252"/>
    <w:rsid w:val="71CF5B0A"/>
    <w:rsid w:val="71D20137"/>
    <w:rsid w:val="72085DC3"/>
    <w:rsid w:val="72200373"/>
    <w:rsid w:val="72312F8F"/>
    <w:rsid w:val="72454B59"/>
    <w:rsid w:val="725519A9"/>
    <w:rsid w:val="7290109E"/>
    <w:rsid w:val="730F0917"/>
    <w:rsid w:val="733B3A54"/>
    <w:rsid w:val="733E0528"/>
    <w:rsid w:val="733F44EE"/>
    <w:rsid w:val="73456DCF"/>
    <w:rsid w:val="73536A13"/>
    <w:rsid w:val="73776EDE"/>
    <w:rsid w:val="739001C2"/>
    <w:rsid w:val="739A335E"/>
    <w:rsid w:val="739D682C"/>
    <w:rsid w:val="73CB4F30"/>
    <w:rsid w:val="73DB7F0C"/>
    <w:rsid w:val="73E30610"/>
    <w:rsid w:val="73FA1890"/>
    <w:rsid w:val="740F4FB4"/>
    <w:rsid w:val="742E1D98"/>
    <w:rsid w:val="74324A83"/>
    <w:rsid w:val="744A469D"/>
    <w:rsid w:val="74515B21"/>
    <w:rsid w:val="747A188F"/>
    <w:rsid w:val="748D4C49"/>
    <w:rsid w:val="749F7954"/>
    <w:rsid w:val="74A052D3"/>
    <w:rsid w:val="74BE3931"/>
    <w:rsid w:val="74E03DD5"/>
    <w:rsid w:val="74FA201D"/>
    <w:rsid w:val="751A07A3"/>
    <w:rsid w:val="752A503D"/>
    <w:rsid w:val="75317FCF"/>
    <w:rsid w:val="7548281A"/>
    <w:rsid w:val="755931CE"/>
    <w:rsid w:val="757D3C22"/>
    <w:rsid w:val="7590734D"/>
    <w:rsid w:val="759E2F0A"/>
    <w:rsid w:val="75B44789"/>
    <w:rsid w:val="75D236F3"/>
    <w:rsid w:val="75EE50F6"/>
    <w:rsid w:val="761878DF"/>
    <w:rsid w:val="762673F7"/>
    <w:rsid w:val="76333D2D"/>
    <w:rsid w:val="76622ECB"/>
    <w:rsid w:val="76663A24"/>
    <w:rsid w:val="767B2610"/>
    <w:rsid w:val="76C95BF7"/>
    <w:rsid w:val="76CF17BA"/>
    <w:rsid w:val="76E41D4C"/>
    <w:rsid w:val="76ED34A9"/>
    <w:rsid w:val="77530E0A"/>
    <w:rsid w:val="77570B37"/>
    <w:rsid w:val="777F259A"/>
    <w:rsid w:val="77945D4F"/>
    <w:rsid w:val="77CB3358"/>
    <w:rsid w:val="77D70A14"/>
    <w:rsid w:val="77F7A0AF"/>
    <w:rsid w:val="77FC5DAF"/>
    <w:rsid w:val="781328CE"/>
    <w:rsid w:val="78153E1F"/>
    <w:rsid w:val="782167EB"/>
    <w:rsid w:val="782256CD"/>
    <w:rsid w:val="78302BD7"/>
    <w:rsid w:val="78373A8F"/>
    <w:rsid w:val="783A6040"/>
    <w:rsid w:val="786D2360"/>
    <w:rsid w:val="78742972"/>
    <w:rsid w:val="7878446B"/>
    <w:rsid w:val="787F1ED0"/>
    <w:rsid w:val="788E779D"/>
    <w:rsid w:val="789E33F1"/>
    <w:rsid w:val="78A82167"/>
    <w:rsid w:val="78A95CC9"/>
    <w:rsid w:val="78CC7C68"/>
    <w:rsid w:val="78D209BC"/>
    <w:rsid w:val="792A71EC"/>
    <w:rsid w:val="79447917"/>
    <w:rsid w:val="79500E1F"/>
    <w:rsid w:val="79615164"/>
    <w:rsid w:val="79C510C1"/>
    <w:rsid w:val="79E46391"/>
    <w:rsid w:val="7A0039A0"/>
    <w:rsid w:val="7A1F1ED1"/>
    <w:rsid w:val="7A2878F0"/>
    <w:rsid w:val="7A56604B"/>
    <w:rsid w:val="7A727726"/>
    <w:rsid w:val="7A7459FC"/>
    <w:rsid w:val="7A787E7A"/>
    <w:rsid w:val="7A7E57B3"/>
    <w:rsid w:val="7A850642"/>
    <w:rsid w:val="7A88394F"/>
    <w:rsid w:val="7A8968CF"/>
    <w:rsid w:val="7A8F7932"/>
    <w:rsid w:val="7A9F5DED"/>
    <w:rsid w:val="7ABA3581"/>
    <w:rsid w:val="7AF74FB5"/>
    <w:rsid w:val="7B32269B"/>
    <w:rsid w:val="7B383DE5"/>
    <w:rsid w:val="7B504C65"/>
    <w:rsid w:val="7B51659B"/>
    <w:rsid w:val="7B7127FD"/>
    <w:rsid w:val="7B73774A"/>
    <w:rsid w:val="7BAE0668"/>
    <w:rsid w:val="7BC80357"/>
    <w:rsid w:val="7BD15FFD"/>
    <w:rsid w:val="7BF9064D"/>
    <w:rsid w:val="7BFA9146"/>
    <w:rsid w:val="7C026D53"/>
    <w:rsid w:val="7C0B2F48"/>
    <w:rsid w:val="7C157C76"/>
    <w:rsid w:val="7C414AE0"/>
    <w:rsid w:val="7C583299"/>
    <w:rsid w:val="7C623519"/>
    <w:rsid w:val="7C832F0E"/>
    <w:rsid w:val="7CA1462B"/>
    <w:rsid w:val="7CA879BB"/>
    <w:rsid w:val="7CE7648D"/>
    <w:rsid w:val="7CEF2EDE"/>
    <w:rsid w:val="7CF704AD"/>
    <w:rsid w:val="7D030246"/>
    <w:rsid w:val="7D072565"/>
    <w:rsid w:val="7D466AEE"/>
    <w:rsid w:val="7E1E5EEB"/>
    <w:rsid w:val="7E293099"/>
    <w:rsid w:val="7E5152D4"/>
    <w:rsid w:val="7E650253"/>
    <w:rsid w:val="7E9248F1"/>
    <w:rsid w:val="7EAF4F1A"/>
    <w:rsid w:val="7ECD1E4D"/>
    <w:rsid w:val="7ED111DE"/>
    <w:rsid w:val="7EE9026E"/>
    <w:rsid w:val="7EFB40B4"/>
    <w:rsid w:val="7F293C2D"/>
    <w:rsid w:val="7F2B277C"/>
    <w:rsid w:val="7F3D1CB9"/>
    <w:rsid w:val="7F3F4BFF"/>
    <w:rsid w:val="7F521346"/>
    <w:rsid w:val="7F55573E"/>
    <w:rsid w:val="7F61696F"/>
    <w:rsid w:val="7F6D77CC"/>
    <w:rsid w:val="7F7293ED"/>
    <w:rsid w:val="7F7A0D3C"/>
    <w:rsid w:val="7FA8471A"/>
    <w:rsid w:val="7FB0124A"/>
    <w:rsid w:val="7FBFBA23"/>
    <w:rsid w:val="7FD3E53E"/>
    <w:rsid w:val="7FFB71E5"/>
    <w:rsid w:val="7FFD25EA"/>
    <w:rsid w:val="7FFE2A8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uiPriority="99"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0816CE"/>
    <w:pPr>
      <w:widowControl w:val="0"/>
      <w:adjustRightInd w:val="0"/>
      <w:snapToGrid w:val="0"/>
      <w:spacing w:line="360" w:lineRule="auto"/>
      <w:ind w:firstLineChars="200" w:firstLine="672"/>
      <w:jc w:val="both"/>
    </w:pPr>
    <w:rPr>
      <w:rFonts w:eastAsia="仿宋"/>
      <w:kern w:val="2"/>
      <w:sz w:val="32"/>
      <w:szCs w:val="32"/>
    </w:rPr>
  </w:style>
  <w:style w:type="paragraph" w:styleId="1">
    <w:name w:val="heading 1"/>
    <w:basedOn w:val="a"/>
    <w:next w:val="a"/>
    <w:link w:val="1Char"/>
    <w:qFormat/>
    <w:rsid w:val="000816CE"/>
    <w:pPr>
      <w:keepNext/>
      <w:keepLines/>
      <w:spacing w:beforeLines="50" w:afterLines="50"/>
      <w:ind w:firstLineChars="0" w:firstLine="0"/>
      <w:jc w:val="center"/>
      <w:outlineLvl w:val="0"/>
    </w:pPr>
    <w:rPr>
      <w:rFonts w:eastAsia="黑体"/>
      <w:kern w:val="44"/>
    </w:rPr>
  </w:style>
  <w:style w:type="paragraph" w:styleId="2">
    <w:name w:val="heading 2"/>
    <w:basedOn w:val="a"/>
    <w:next w:val="a"/>
    <w:link w:val="2Char"/>
    <w:uiPriority w:val="9"/>
    <w:unhideWhenUsed/>
    <w:qFormat/>
    <w:rsid w:val="000816CE"/>
    <w:pPr>
      <w:spacing w:beforeLines="50" w:afterLines="50"/>
      <w:jc w:val="left"/>
      <w:outlineLvl w:val="1"/>
    </w:pPr>
    <w:rPr>
      <w:rFonts w:eastAsia="楷体" w:hint="eastAsia"/>
      <w:b/>
      <w:kern w:val="0"/>
    </w:rPr>
  </w:style>
  <w:style w:type="paragraph" w:styleId="3">
    <w:name w:val="heading 3"/>
    <w:basedOn w:val="a"/>
    <w:next w:val="a"/>
    <w:unhideWhenUsed/>
    <w:qFormat/>
    <w:rsid w:val="000816CE"/>
    <w:pPr>
      <w:spacing w:beforeLines="50" w:afterLines="50"/>
      <w:jc w:val="left"/>
      <w:outlineLvl w:val="2"/>
    </w:pPr>
    <w:rPr>
      <w:rFonts w:hint="eastAsia"/>
      <w:b/>
      <w:bCs/>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0816CE"/>
    <w:pPr>
      <w:ind w:left="1260"/>
      <w:jc w:val="left"/>
    </w:pPr>
    <w:rPr>
      <w:rFonts w:asciiTheme="minorHAnsi" w:hAnsiTheme="minorHAnsi" w:cstheme="minorHAnsi"/>
      <w:sz w:val="18"/>
      <w:szCs w:val="18"/>
    </w:rPr>
  </w:style>
  <w:style w:type="paragraph" w:styleId="a3">
    <w:name w:val="annotation text"/>
    <w:basedOn w:val="a"/>
    <w:link w:val="Char"/>
    <w:uiPriority w:val="99"/>
    <w:qFormat/>
    <w:rsid w:val="000816CE"/>
    <w:pPr>
      <w:jc w:val="left"/>
    </w:pPr>
  </w:style>
  <w:style w:type="paragraph" w:styleId="a4">
    <w:name w:val="Body Text"/>
    <w:basedOn w:val="a"/>
    <w:next w:val="a5"/>
    <w:qFormat/>
    <w:rsid w:val="000816CE"/>
    <w:pPr>
      <w:spacing w:after="120"/>
    </w:pPr>
  </w:style>
  <w:style w:type="paragraph" w:styleId="a5">
    <w:name w:val="Body Text First Indent"/>
    <w:basedOn w:val="a4"/>
    <w:next w:val="1"/>
    <w:qFormat/>
    <w:rsid w:val="000816CE"/>
    <w:pPr>
      <w:ind w:firstLineChars="100" w:firstLine="420"/>
    </w:pPr>
  </w:style>
  <w:style w:type="paragraph" w:styleId="a6">
    <w:name w:val="Body Text Indent"/>
    <w:basedOn w:val="a"/>
    <w:link w:val="Char0"/>
    <w:qFormat/>
    <w:rsid w:val="000816CE"/>
    <w:pPr>
      <w:ind w:firstLineChars="0" w:firstLine="0"/>
      <w:jc w:val="center"/>
    </w:pPr>
    <w:rPr>
      <w:b/>
    </w:rPr>
  </w:style>
  <w:style w:type="paragraph" w:styleId="5">
    <w:name w:val="toc 5"/>
    <w:basedOn w:val="a"/>
    <w:next w:val="a"/>
    <w:qFormat/>
    <w:rsid w:val="000816CE"/>
    <w:pPr>
      <w:ind w:left="840"/>
      <w:jc w:val="left"/>
    </w:pPr>
    <w:rPr>
      <w:rFonts w:asciiTheme="minorHAnsi" w:hAnsiTheme="minorHAnsi" w:cstheme="minorHAnsi"/>
      <w:sz w:val="18"/>
      <w:szCs w:val="18"/>
    </w:rPr>
  </w:style>
  <w:style w:type="paragraph" w:styleId="30">
    <w:name w:val="toc 3"/>
    <w:basedOn w:val="a"/>
    <w:next w:val="a"/>
    <w:uiPriority w:val="39"/>
    <w:unhideWhenUsed/>
    <w:qFormat/>
    <w:rsid w:val="000816CE"/>
    <w:pPr>
      <w:ind w:left="420"/>
      <w:jc w:val="left"/>
    </w:pPr>
    <w:rPr>
      <w:rFonts w:asciiTheme="minorHAnsi" w:hAnsiTheme="minorHAnsi" w:cstheme="minorHAnsi"/>
      <w:i/>
      <w:iCs/>
      <w:sz w:val="20"/>
      <w:szCs w:val="20"/>
    </w:rPr>
  </w:style>
  <w:style w:type="paragraph" w:styleId="8">
    <w:name w:val="toc 8"/>
    <w:basedOn w:val="a"/>
    <w:next w:val="a"/>
    <w:qFormat/>
    <w:rsid w:val="000816CE"/>
    <w:pPr>
      <w:ind w:left="1470"/>
      <w:jc w:val="left"/>
    </w:pPr>
    <w:rPr>
      <w:rFonts w:asciiTheme="minorHAnsi" w:hAnsiTheme="minorHAnsi" w:cstheme="minorHAnsi"/>
      <w:sz w:val="18"/>
      <w:szCs w:val="18"/>
    </w:rPr>
  </w:style>
  <w:style w:type="paragraph" w:styleId="a7">
    <w:name w:val="Balloon Text"/>
    <w:basedOn w:val="a"/>
    <w:link w:val="Char1"/>
    <w:uiPriority w:val="99"/>
    <w:semiHidden/>
    <w:unhideWhenUsed/>
    <w:qFormat/>
    <w:rsid w:val="000816CE"/>
    <w:rPr>
      <w:sz w:val="18"/>
      <w:szCs w:val="18"/>
    </w:rPr>
  </w:style>
  <w:style w:type="paragraph" w:styleId="a8">
    <w:name w:val="footer"/>
    <w:basedOn w:val="a"/>
    <w:link w:val="Char2"/>
    <w:uiPriority w:val="99"/>
    <w:qFormat/>
    <w:rsid w:val="000816CE"/>
    <w:pPr>
      <w:tabs>
        <w:tab w:val="center" w:pos="4153"/>
        <w:tab w:val="right" w:pos="8306"/>
      </w:tabs>
      <w:jc w:val="left"/>
    </w:pPr>
    <w:rPr>
      <w:sz w:val="18"/>
    </w:rPr>
  </w:style>
  <w:style w:type="paragraph" w:styleId="a9">
    <w:name w:val="header"/>
    <w:basedOn w:val="a"/>
    <w:link w:val="Char3"/>
    <w:uiPriority w:val="99"/>
    <w:qFormat/>
    <w:rsid w:val="000816CE"/>
    <w:pPr>
      <w:pBdr>
        <w:top w:val="none" w:sz="0" w:space="1" w:color="auto"/>
        <w:left w:val="none" w:sz="0" w:space="4" w:color="auto"/>
        <w:bottom w:val="none" w:sz="0" w:space="1" w:color="auto"/>
        <w:right w:val="none" w:sz="0" w:space="4" w:color="auto"/>
      </w:pBdr>
      <w:tabs>
        <w:tab w:val="center" w:pos="4153"/>
        <w:tab w:val="right" w:pos="8306"/>
      </w:tabs>
    </w:pPr>
    <w:rPr>
      <w:sz w:val="18"/>
    </w:rPr>
  </w:style>
  <w:style w:type="paragraph" w:styleId="10">
    <w:name w:val="toc 1"/>
    <w:basedOn w:val="a"/>
    <w:next w:val="a"/>
    <w:uiPriority w:val="39"/>
    <w:unhideWhenUsed/>
    <w:qFormat/>
    <w:rsid w:val="000816CE"/>
    <w:pPr>
      <w:spacing w:before="120" w:after="120"/>
      <w:jc w:val="left"/>
    </w:pPr>
    <w:rPr>
      <w:rFonts w:asciiTheme="minorHAnsi" w:hAnsiTheme="minorHAnsi" w:cstheme="minorHAnsi"/>
      <w:b/>
      <w:bCs/>
      <w:caps/>
      <w:sz w:val="20"/>
      <w:szCs w:val="20"/>
    </w:rPr>
  </w:style>
  <w:style w:type="paragraph" w:styleId="4">
    <w:name w:val="toc 4"/>
    <w:basedOn w:val="a"/>
    <w:next w:val="a"/>
    <w:qFormat/>
    <w:rsid w:val="000816CE"/>
    <w:pPr>
      <w:ind w:left="630"/>
      <w:jc w:val="left"/>
    </w:pPr>
    <w:rPr>
      <w:rFonts w:asciiTheme="minorHAnsi" w:hAnsiTheme="minorHAnsi" w:cstheme="minorHAnsi"/>
      <w:sz w:val="18"/>
      <w:szCs w:val="18"/>
    </w:rPr>
  </w:style>
  <w:style w:type="paragraph" w:styleId="6">
    <w:name w:val="toc 6"/>
    <w:basedOn w:val="a"/>
    <w:next w:val="a"/>
    <w:qFormat/>
    <w:rsid w:val="000816CE"/>
    <w:pPr>
      <w:ind w:left="1050"/>
      <w:jc w:val="left"/>
    </w:pPr>
    <w:rPr>
      <w:rFonts w:asciiTheme="minorHAnsi" w:hAnsiTheme="minorHAnsi" w:cstheme="minorHAnsi"/>
      <w:sz w:val="18"/>
      <w:szCs w:val="18"/>
    </w:rPr>
  </w:style>
  <w:style w:type="paragraph" w:styleId="20">
    <w:name w:val="toc 2"/>
    <w:basedOn w:val="a"/>
    <w:next w:val="a"/>
    <w:uiPriority w:val="39"/>
    <w:unhideWhenUsed/>
    <w:qFormat/>
    <w:rsid w:val="000816CE"/>
    <w:pPr>
      <w:ind w:left="210"/>
      <w:jc w:val="left"/>
    </w:pPr>
    <w:rPr>
      <w:rFonts w:asciiTheme="minorHAnsi" w:hAnsiTheme="minorHAnsi" w:cstheme="minorHAnsi"/>
      <w:smallCaps/>
      <w:sz w:val="20"/>
      <w:szCs w:val="20"/>
    </w:rPr>
  </w:style>
  <w:style w:type="paragraph" w:styleId="9">
    <w:name w:val="toc 9"/>
    <w:basedOn w:val="a"/>
    <w:next w:val="a"/>
    <w:qFormat/>
    <w:rsid w:val="000816CE"/>
    <w:pPr>
      <w:ind w:left="1680"/>
      <w:jc w:val="left"/>
    </w:pPr>
    <w:rPr>
      <w:rFonts w:asciiTheme="minorHAnsi" w:hAnsiTheme="minorHAnsi" w:cstheme="minorHAnsi"/>
      <w:sz w:val="18"/>
      <w:szCs w:val="18"/>
    </w:rPr>
  </w:style>
  <w:style w:type="paragraph" w:styleId="aa">
    <w:name w:val="Normal (Web)"/>
    <w:basedOn w:val="a"/>
    <w:qFormat/>
    <w:rsid w:val="000816CE"/>
    <w:pPr>
      <w:spacing w:before="100" w:beforeAutospacing="1" w:after="100" w:afterAutospacing="1"/>
      <w:jc w:val="left"/>
    </w:pPr>
    <w:rPr>
      <w:kern w:val="0"/>
      <w:sz w:val="24"/>
    </w:rPr>
  </w:style>
  <w:style w:type="paragraph" w:styleId="ab">
    <w:name w:val="annotation subject"/>
    <w:basedOn w:val="a3"/>
    <w:next w:val="a3"/>
    <w:link w:val="Char4"/>
    <w:semiHidden/>
    <w:unhideWhenUsed/>
    <w:qFormat/>
    <w:rsid w:val="000816CE"/>
    <w:rPr>
      <w:b/>
      <w:bCs/>
    </w:rPr>
  </w:style>
  <w:style w:type="paragraph" w:styleId="21">
    <w:name w:val="Body Text First Indent 2"/>
    <w:basedOn w:val="a6"/>
    <w:next w:val="a"/>
    <w:link w:val="2Char0"/>
    <w:uiPriority w:val="99"/>
    <w:qFormat/>
    <w:rsid w:val="000816CE"/>
    <w:pPr>
      <w:ind w:firstLine="420"/>
    </w:pPr>
  </w:style>
  <w:style w:type="table" w:styleId="ac">
    <w:name w:val="Table Grid"/>
    <w:basedOn w:val="a1"/>
    <w:qFormat/>
    <w:rsid w:val="00081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qFormat/>
    <w:rsid w:val="000816CE"/>
    <w:rPr>
      <w:b/>
    </w:rPr>
  </w:style>
  <w:style w:type="character" w:styleId="ae">
    <w:name w:val="Hyperlink"/>
    <w:basedOn w:val="a0"/>
    <w:uiPriority w:val="99"/>
    <w:unhideWhenUsed/>
    <w:qFormat/>
    <w:rsid w:val="000816CE"/>
    <w:rPr>
      <w:color w:val="0000FF"/>
      <w:u w:val="single"/>
    </w:rPr>
  </w:style>
  <w:style w:type="character" w:styleId="af">
    <w:name w:val="annotation reference"/>
    <w:basedOn w:val="a0"/>
    <w:uiPriority w:val="99"/>
    <w:qFormat/>
    <w:rsid w:val="000816CE"/>
    <w:rPr>
      <w:sz w:val="21"/>
      <w:szCs w:val="21"/>
    </w:rPr>
  </w:style>
  <w:style w:type="character" w:customStyle="1" w:styleId="2Char">
    <w:name w:val="标题 2 Char"/>
    <w:link w:val="2"/>
    <w:uiPriority w:val="9"/>
    <w:qFormat/>
    <w:rsid w:val="000816CE"/>
    <w:rPr>
      <w:rFonts w:ascii="Times New Roman" w:eastAsia="楷体" w:hAnsi="Times New Roman" w:cs="宋体" w:hint="eastAsia"/>
      <w:b/>
      <w:kern w:val="0"/>
      <w:sz w:val="32"/>
      <w:szCs w:val="32"/>
      <w:lang w:val="en-US" w:eastAsia="zh-CN"/>
    </w:rPr>
  </w:style>
  <w:style w:type="character" w:customStyle="1" w:styleId="1Char">
    <w:name w:val="标题 1 Char"/>
    <w:basedOn w:val="a0"/>
    <w:link w:val="1"/>
    <w:qFormat/>
    <w:rsid w:val="000816CE"/>
    <w:rPr>
      <w:rFonts w:ascii="Times New Roman" w:eastAsia="黑体" w:hAnsi="Times New Roman"/>
      <w:kern w:val="44"/>
      <w:sz w:val="32"/>
      <w:szCs w:val="32"/>
    </w:rPr>
  </w:style>
  <w:style w:type="character" w:customStyle="1" w:styleId="Char1">
    <w:name w:val="批注框文本 Char"/>
    <w:basedOn w:val="a0"/>
    <w:link w:val="a7"/>
    <w:uiPriority w:val="99"/>
    <w:semiHidden/>
    <w:qFormat/>
    <w:rsid w:val="000816CE"/>
    <w:rPr>
      <w:rFonts w:ascii="Calibri" w:hAnsi="Calibri"/>
      <w:kern w:val="2"/>
      <w:sz w:val="18"/>
      <w:szCs w:val="18"/>
    </w:rPr>
  </w:style>
  <w:style w:type="paragraph" w:styleId="af0">
    <w:name w:val="List Paragraph"/>
    <w:basedOn w:val="a"/>
    <w:uiPriority w:val="99"/>
    <w:qFormat/>
    <w:rsid w:val="000816CE"/>
    <w:pPr>
      <w:ind w:firstLine="420"/>
    </w:pPr>
  </w:style>
  <w:style w:type="character" w:customStyle="1" w:styleId="Char">
    <w:name w:val="批注文字 Char"/>
    <w:basedOn w:val="a0"/>
    <w:link w:val="a3"/>
    <w:uiPriority w:val="99"/>
    <w:qFormat/>
    <w:rsid w:val="000816CE"/>
    <w:rPr>
      <w:rFonts w:ascii="Calibri" w:hAnsi="Calibri"/>
      <w:kern w:val="2"/>
      <w:sz w:val="21"/>
      <w:szCs w:val="24"/>
    </w:rPr>
  </w:style>
  <w:style w:type="character" w:customStyle="1" w:styleId="Char4">
    <w:name w:val="批注主题 Char"/>
    <w:basedOn w:val="Char"/>
    <w:link w:val="ab"/>
    <w:semiHidden/>
    <w:qFormat/>
    <w:rsid w:val="000816CE"/>
    <w:rPr>
      <w:rFonts w:ascii="Calibri" w:hAnsi="Calibri"/>
      <w:b/>
      <w:bCs/>
      <w:kern w:val="2"/>
      <w:sz w:val="21"/>
      <w:szCs w:val="24"/>
    </w:rPr>
  </w:style>
  <w:style w:type="paragraph" w:customStyle="1" w:styleId="p0">
    <w:name w:val="p0"/>
    <w:basedOn w:val="a"/>
    <w:qFormat/>
    <w:rsid w:val="000816CE"/>
    <w:pPr>
      <w:widowControl/>
    </w:pPr>
    <w:rPr>
      <w:rFonts w:ascii="宋体" w:hAnsi="宋体" w:cs="宋体"/>
      <w:kern w:val="0"/>
      <w:szCs w:val="21"/>
    </w:rPr>
  </w:style>
  <w:style w:type="paragraph" w:customStyle="1" w:styleId="TOC1">
    <w:name w:val="TOC 标题1"/>
    <w:basedOn w:val="1"/>
    <w:next w:val="a"/>
    <w:uiPriority w:val="39"/>
    <w:unhideWhenUsed/>
    <w:qFormat/>
    <w:rsid w:val="000816CE"/>
    <w:pPr>
      <w:widowControl/>
      <w:spacing w:before="240" w:line="259" w:lineRule="auto"/>
      <w:jc w:val="left"/>
      <w:outlineLvl w:val="9"/>
    </w:pPr>
    <w:rPr>
      <w:rFonts w:asciiTheme="majorHAnsi" w:eastAsiaTheme="majorEastAsia" w:hAnsiTheme="majorHAnsi" w:cstheme="majorBidi"/>
      <w:color w:val="365F91" w:themeColor="accent1" w:themeShade="BF"/>
      <w:kern w:val="0"/>
    </w:rPr>
  </w:style>
  <w:style w:type="character" w:customStyle="1" w:styleId="Char2">
    <w:name w:val="页脚 Char"/>
    <w:basedOn w:val="a0"/>
    <w:link w:val="a8"/>
    <w:uiPriority w:val="99"/>
    <w:qFormat/>
    <w:rsid w:val="000816CE"/>
    <w:rPr>
      <w:rFonts w:ascii="Calibri" w:hAnsi="Calibri"/>
      <w:kern w:val="2"/>
      <w:sz w:val="18"/>
      <w:szCs w:val="24"/>
    </w:rPr>
  </w:style>
  <w:style w:type="character" w:customStyle="1" w:styleId="Char0">
    <w:name w:val="正文文本缩进 Char"/>
    <w:basedOn w:val="a0"/>
    <w:link w:val="a6"/>
    <w:qFormat/>
    <w:rsid w:val="000816CE"/>
    <w:rPr>
      <w:rFonts w:ascii="Calibri" w:eastAsia="仿宋" w:hAnsi="Calibri"/>
      <w:b/>
      <w:kern w:val="2"/>
      <w:sz w:val="21"/>
      <w:szCs w:val="24"/>
    </w:rPr>
  </w:style>
  <w:style w:type="character" w:customStyle="1" w:styleId="2Char0">
    <w:name w:val="正文首行缩进 2 Char"/>
    <w:basedOn w:val="Char0"/>
    <w:link w:val="21"/>
    <w:uiPriority w:val="99"/>
    <w:qFormat/>
    <w:rsid w:val="000816CE"/>
    <w:rPr>
      <w:rFonts w:ascii="Calibri" w:eastAsia="仿宋" w:hAnsi="Calibri"/>
      <w:kern w:val="2"/>
      <w:sz w:val="21"/>
      <w:szCs w:val="24"/>
    </w:rPr>
  </w:style>
  <w:style w:type="paragraph" w:customStyle="1" w:styleId="msonormal0">
    <w:name w:val="msonormal"/>
    <w:basedOn w:val="a"/>
    <w:qFormat/>
    <w:rsid w:val="000816CE"/>
    <w:pPr>
      <w:widowControl/>
      <w:spacing w:before="100" w:beforeAutospacing="1" w:after="100" w:afterAutospacing="1"/>
      <w:jc w:val="left"/>
    </w:pPr>
    <w:rPr>
      <w:rFonts w:ascii="宋体" w:hAnsi="宋体" w:cs="宋体"/>
      <w:kern w:val="0"/>
      <w:sz w:val="24"/>
    </w:rPr>
  </w:style>
  <w:style w:type="paragraph" w:customStyle="1" w:styleId="font510701">
    <w:name w:val="font510701"/>
    <w:basedOn w:val="a"/>
    <w:qFormat/>
    <w:rsid w:val="000816CE"/>
    <w:pPr>
      <w:widowControl/>
      <w:spacing w:before="100" w:beforeAutospacing="1" w:after="100" w:afterAutospacing="1"/>
      <w:jc w:val="left"/>
    </w:pPr>
    <w:rPr>
      <w:rFonts w:ascii="仿宋_GB2312" w:eastAsia="仿宋_GB2312" w:hAnsi="宋体" w:cs="宋体"/>
      <w:color w:val="000000"/>
      <w:kern w:val="0"/>
      <w:sz w:val="28"/>
      <w:szCs w:val="28"/>
    </w:rPr>
  </w:style>
  <w:style w:type="paragraph" w:customStyle="1" w:styleId="font610701">
    <w:name w:val="font610701"/>
    <w:basedOn w:val="a"/>
    <w:qFormat/>
    <w:rsid w:val="000816CE"/>
    <w:pPr>
      <w:widowControl/>
      <w:spacing w:before="100" w:beforeAutospacing="1" w:after="100" w:afterAutospacing="1"/>
      <w:jc w:val="left"/>
    </w:pPr>
    <w:rPr>
      <w:rFonts w:ascii="仿宋_GB2312" w:eastAsia="仿宋_GB2312" w:hAnsi="宋体" w:cs="宋体"/>
      <w:color w:val="000000"/>
      <w:kern w:val="0"/>
      <w:sz w:val="28"/>
      <w:szCs w:val="28"/>
    </w:rPr>
  </w:style>
  <w:style w:type="paragraph" w:customStyle="1" w:styleId="font710701">
    <w:name w:val="font710701"/>
    <w:basedOn w:val="a"/>
    <w:qFormat/>
    <w:rsid w:val="000816CE"/>
    <w:pPr>
      <w:widowControl/>
      <w:spacing w:before="100" w:beforeAutospacing="1" w:after="100" w:afterAutospacing="1"/>
      <w:jc w:val="left"/>
    </w:pPr>
    <w:rPr>
      <w:rFonts w:ascii="仿宋_GB2312" w:eastAsia="仿宋_GB2312" w:hAnsi="宋体" w:cs="宋体"/>
      <w:color w:val="000000"/>
      <w:kern w:val="0"/>
      <w:sz w:val="28"/>
      <w:szCs w:val="28"/>
    </w:rPr>
  </w:style>
  <w:style w:type="paragraph" w:customStyle="1" w:styleId="font810701">
    <w:name w:val="font810701"/>
    <w:basedOn w:val="a"/>
    <w:qFormat/>
    <w:rsid w:val="000816CE"/>
    <w:pPr>
      <w:widowControl/>
      <w:spacing w:before="100" w:beforeAutospacing="1" w:after="100" w:afterAutospacing="1"/>
      <w:jc w:val="left"/>
    </w:pPr>
    <w:rPr>
      <w:rFonts w:ascii="仿宋_GB2312" w:eastAsia="仿宋_GB2312" w:hAnsi="宋体" w:cs="宋体"/>
      <w:color w:val="000000"/>
      <w:kern w:val="0"/>
      <w:sz w:val="28"/>
      <w:szCs w:val="28"/>
    </w:rPr>
  </w:style>
  <w:style w:type="paragraph" w:customStyle="1" w:styleId="font910701">
    <w:name w:val="font910701"/>
    <w:basedOn w:val="a"/>
    <w:qFormat/>
    <w:rsid w:val="000816CE"/>
    <w:pPr>
      <w:widowControl/>
      <w:spacing w:before="100" w:beforeAutospacing="1" w:after="100" w:afterAutospacing="1"/>
      <w:jc w:val="left"/>
    </w:pPr>
    <w:rPr>
      <w:rFonts w:ascii="宋体" w:hAnsi="宋体" w:cs="宋体"/>
      <w:color w:val="000000"/>
      <w:kern w:val="0"/>
      <w:sz w:val="28"/>
      <w:szCs w:val="28"/>
    </w:rPr>
  </w:style>
  <w:style w:type="paragraph" w:customStyle="1" w:styleId="font1010701">
    <w:name w:val="font1010701"/>
    <w:basedOn w:val="a"/>
    <w:qFormat/>
    <w:rsid w:val="000816CE"/>
    <w:pPr>
      <w:widowControl/>
      <w:spacing w:before="100" w:beforeAutospacing="1" w:after="100" w:afterAutospacing="1"/>
      <w:jc w:val="left"/>
    </w:pPr>
    <w:rPr>
      <w:rFonts w:ascii="宋体" w:hAnsi="宋体" w:cs="宋体"/>
      <w:color w:val="000000"/>
      <w:kern w:val="0"/>
      <w:sz w:val="28"/>
      <w:szCs w:val="28"/>
    </w:rPr>
  </w:style>
  <w:style w:type="paragraph" w:customStyle="1" w:styleId="font1110701">
    <w:name w:val="font1110701"/>
    <w:basedOn w:val="a"/>
    <w:qFormat/>
    <w:rsid w:val="000816CE"/>
    <w:pPr>
      <w:widowControl/>
      <w:spacing w:before="100" w:beforeAutospacing="1" w:after="100" w:afterAutospacing="1"/>
      <w:jc w:val="left"/>
    </w:pPr>
    <w:rPr>
      <w:color w:val="000000"/>
      <w:kern w:val="0"/>
      <w:sz w:val="28"/>
      <w:szCs w:val="28"/>
    </w:rPr>
  </w:style>
  <w:style w:type="paragraph" w:customStyle="1" w:styleId="font1210701">
    <w:name w:val="font1210701"/>
    <w:basedOn w:val="a"/>
    <w:qFormat/>
    <w:rsid w:val="000816CE"/>
    <w:pPr>
      <w:widowControl/>
      <w:spacing w:before="100" w:beforeAutospacing="1" w:after="100" w:afterAutospacing="1"/>
      <w:jc w:val="left"/>
    </w:pPr>
    <w:rPr>
      <w:color w:val="000000"/>
      <w:kern w:val="0"/>
      <w:sz w:val="28"/>
      <w:szCs w:val="28"/>
    </w:rPr>
  </w:style>
  <w:style w:type="paragraph" w:customStyle="1" w:styleId="xl7510701">
    <w:name w:val="xl7510701"/>
    <w:basedOn w:val="a"/>
    <w:qFormat/>
    <w:rsid w:val="000816CE"/>
    <w:pPr>
      <w:widowControl/>
      <w:spacing w:before="100" w:beforeAutospacing="1" w:after="100" w:afterAutospacing="1"/>
      <w:jc w:val="left"/>
      <w:textAlignment w:val="center"/>
    </w:pPr>
    <w:rPr>
      <w:rFonts w:ascii="宋体" w:hAnsi="宋体" w:cs="宋体"/>
      <w:b/>
      <w:bCs/>
      <w:kern w:val="0"/>
      <w:sz w:val="22"/>
      <w:szCs w:val="22"/>
    </w:rPr>
  </w:style>
  <w:style w:type="paragraph" w:customStyle="1" w:styleId="xl7610701">
    <w:name w:val="xl7610701"/>
    <w:basedOn w:val="a"/>
    <w:qFormat/>
    <w:rsid w:val="000816CE"/>
    <w:pPr>
      <w:widowControl/>
      <w:spacing w:before="100" w:beforeAutospacing="1" w:after="100" w:afterAutospacing="1"/>
      <w:jc w:val="center"/>
      <w:textAlignment w:val="center"/>
    </w:pPr>
    <w:rPr>
      <w:rFonts w:ascii="宋体" w:hAnsi="宋体" w:cs="宋体"/>
      <w:b/>
      <w:bCs/>
      <w:kern w:val="0"/>
      <w:sz w:val="22"/>
      <w:szCs w:val="22"/>
    </w:rPr>
  </w:style>
  <w:style w:type="paragraph" w:customStyle="1" w:styleId="xl7710701">
    <w:name w:val="xl7710701"/>
    <w:basedOn w:val="a"/>
    <w:qFormat/>
    <w:rsid w:val="000816CE"/>
    <w:pPr>
      <w:widowControl/>
      <w:spacing w:before="100" w:beforeAutospacing="1" w:after="100" w:afterAutospacing="1"/>
      <w:jc w:val="left"/>
      <w:textAlignment w:val="center"/>
    </w:pPr>
    <w:rPr>
      <w:rFonts w:ascii="仿宋_GB2312" w:eastAsia="仿宋_GB2312" w:hAnsi="宋体" w:cs="宋体"/>
      <w:b/>
      <w:bCs/>
      <w:kern w:val="0"/>
      <w:sz w:val="28"/>
      <w:szCs w:val="28"/>
    </w:rPr>
  </w:style>
  <w:style w:type="paragraph" w:customStyle="1" w:styleId="xl7810701">
    <w:name w:val="xl7810701"/>
    <w:basedOn w:val="a"/>
    <w:qFormat/>
    <w:rsid w:val="000816CE"/>
    <w:pPr>
      <w:widowControl/>
      <w:spacing w:before="100" w:beforeAutospacing="1" w:after="100" w:afterAutospacing="1"/>
      <w:jc w:val="left"/>
      <w:textAlignment w:val="center"/>
    </w:pPr>
    <w:rPr>
      <w:rFonts w:ascii="宋体" w:hAnsi="宋体" w:cs="宋体"/>
      <w:b/>
      <w:bCs/>
      <w:kern w:val="0"/>
      <w:sz w:val="22"/>
      <w:szCs w:val="22"/>
    </w:rPr>
  </w:style>
  <w:style w:type="paragraph" w:customStyle="1" w:styleId="xl7910701">
    <w:name w:val="xl7910701"/>
    <w:basedOn w:val="a"/>
    <w:qFormat/>
    <w:rsid w:val="000816CE"/>
    <w:pPr>
      <w:widowControl/>
      <w:spacing w:before="100" w:beforeAutospacing="1" w:after="100" w:afterAutospacing="1"/>
      <w:jc w:val="center"/>
      <w:textAlignment w:val="center"/>
    </w:pPr>
    <w:rPr>
      <w:rFonts w:ascii="宋体" w:hAnsi="宋体" w:cs="宋体"/>
      <w:kern w:val="0"/>
      <w:sz w:val="22"/>
      <w:szCs w:val="22"/>
    </w:rPr>
  </w:style>
  <w:style w:type="paragraph" w:customStyle="1" w:styleId="xl8010701">
    <w:name w:val="xl8010701"/>
    <w:basedOn w:val="a"/>
    <w:qFormat/>
    <w:rsid w:val="000816CE"/>
    <w:pPr>
      <w:widowControl/>
      <w:spacing w:before="100" w:beforeAutospacing="1" w:after="100" w:afterAutospacing="1"/>
      <w:jc w:val="left"/>
      <w:textAlignment w:val="center"/>
    </w:pPr>
    <w:rPr>
      <w:rFonts w:ascii="宋体" w:hAnsi="宋体" w:cs="宋体"/>
      <w:kern w:val="0"/>
      <w:sz w:val="22"/>
      <w:szCs w:val="22"/>
    </w:rPr>
  </w:style>
  <w:style w:type="paragraph" w:customStyle="1" w:styleId="xl8110701">
    <w:name w:val="xl8110701"/>
    <w:basedOn w:val="a"/>
    <w:qFormat/>
    <w:rsid w:val="000816CE"/>
    <w:pPr>
      <w:widowControl/>
      <w:spacing w:before="100" w:beforeAutospacing="1" w:after="100" w:afterAutospacing="1"/>
      <w:jc w:val="center"/>
      <w:textAlignment w:val="center"/>
    </w:pPr>
    <w:rPr>
      <w:rFonts w:ascii="宋体" w:hAnsi="宋体" w:cs="宋体"/>
      <w:kern w:val="0"/>
      <w:sz w:val="22"/>
      <w:szCs w:val="22"/>
    </w:rPr>
  </w:style>
  <w:style w:type="paragraph" w:customStyle="1" w:styleId="xl8210701">
    <w:name w:val="xl8210701"/>
    <w:basedOn w:val="a"/>
    <w:qFormat/>
    <w:rsid w:val="000816CE"/>
    <w:pPr>
      <w:widowControl/>
      <w:spacing w:before="100" w:beforeAutospacing="1" w:after="100" w:afterAutospacing="1"/>
      <w:jc w:val="left"/>
      <w:textAlignment w:val="center"/>
    </w:pPr>
    <w:rPr>
      <w:rFonts w:ascii="宋体" w:hAnsi="宋体" w:cs="宋体"/>
      <w:kern w:val="0"/>
      <w:sz w:val="22"/>
      <w:szCs w:val="22"/>
    </w:rPr>
  </w:style>
  <w:style w:type="paragraph" w:customStyle="1" w:styleId="xl8310701">
    <w:name w:val="xl83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 w:val="28"/>
      <w:szCs w:val="28"/>
    </w:rPr>
  </w:style>
  <w:style w:type="paragraph" w:customStyle="1" w:styleId="xl8410701">
    <w:name w:val="xl84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kern w:val="0"/>
      <w:sz w:val="28"/>
      <w:szCs w:val="28"/>
    </w:rPr>
  </w:style>
  <w:style w:type="paragraph" w:customStyle="1" w:styleId="xl8510701">
    <w:name w:val="xl85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sz w:val="28"/>
      <w:szCs w:val="28"/>
    </w:rPr>
  </w:style>
  <w:style w:type="paragraph" w:customStyle="1" w:styleId="xl8610701">
    <w:name w:val="xl86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color w:val="000000"/>
      <w:kern w:val="0"/>
      <w:sz w:val="28"/>
      <w:szCs w:val="28"/>
    </w:rPr>
  </w:style>
  <w:style w:type="paragraph" w:customStyle="1" w:styleId="xl8710701">
    <w:name w:val="xl87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sz w:val="28"/>
      <w:szCs w:val="28"/>
    </w:rPr>
  </w:style>
  <w:style w:type="paragraph" w:customStyle="1" w:styleId="xl8810701">
    <w:name w:val="xl88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color w:val="000000"/>
      <w:kern w:val="0"/>
      <w:sz w:val="28"/>
      <w:szCs w:val="28"/>
    </w:rPr>
  </w:style>
  <w:style w:type="paragraph" w:customStyle="1" w:styleId="xl8910701">
    <w:name w:val="xl89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sz w:val="28"/>
      <w:szCs w:val="28"/>
    </w:rPr>
  </w:style>
  <w:style w:type="paragraph" w:customStyle="1" w:styleId="xl9010701">
    <w:name w:val="xl90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kern w:val="0"/>
      <w:sz w:val="28"/>
      <w:szCs w:val="28"/>
    </w:rPr>
  </w:style>
  <w:style w:type="paragraph" w:customStyle="1" w:styleId="xl9110701">
    <w:name w:val="xl9110701"/>
    <w:basedOn w:val="a"/>
    <w:qFormat/>
    <w:rsid w:val="000816C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仿宋_GB2312" w:eastAsia="仿宋_GB2312" w:hAnsi="宋体" w:cs="宋体"/>
      <w:color w:val="000000"/>
      <w:kern w:val="0"/>
      <w:sz w:val="28"/>
      <w:szCs w:val="28"/>
    </w:rPr>
  </w:style>
  <w:style w:type="paragraph" w:customStyle="1" w:styleId="xl9210701">
    <w:name w:val="xl9210701"/>
    <w:basedOn w:val="a"/>
    <w:qFormat/>
    <w:rsid w:val="000816CE"/>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仿宋_GB2312" w:eastAsia="仿宋_GB2312" w:hAnsi="宋体" w:cs="宋体"/>
      <w:color w:val="000000"/>
      <w:kern w:val="0"/>
      <w:sz w:val="28"/>
      <w:szCs w:val="28"/>
    </w:rPr>
  </w:style>
  <w:style w:type="paragraph" w:customStyle="1" w:styleId="xl9310701">
    <w:name w:val="xl9310701"/>
    <w:basedOn w:val="a"/>
    <w:qFormat/>
    <w:rsid w:val="000816CE"/>
    <w:pPr>
      <w:widowControl/>
      <w:spacing w:before="100" w:beforeAutospacing="1" w:after="100" w:afterAutospacing="1"/>
      <w:textAlignment w:val="center"/>
    </w:pPr>
    <w:rPr>
      <w:rFonts w:ascii="仿宋_GB2312" w:eastAsia="仿宋_GB2312" w:hAnsi="宋体" w:cs="宋体"/>
      <w:color w:val="000000"/>
      <w:kern w:val="0"/>
      <w:sz w:val="28"/>
      <w:szCs w:val="28"/>
    </w:rPr>
  </w:style>
  <w:style w:type="paragraph" w:customStyle="1" w:styleId="xl9410701">
    <w:name w:val="xl94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b/>
      <w:bCs/>
      <w:kern w:val="0"/>
      <w:sz w:val="28"/>
      <w:szCs w:val="28"/>
    </w:rPr>
  </w:style>
  <w:style w:type="paragraph" w:customStyle="1" w:styleId="xl9510701">
    <w:name w:val="xl95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sz w:val="28"/>
      <w:szCs w:val="28"/>
    </w:rPr>
  </w:style>
  <w:style w:type="paragraph" w:customStyle="1" w:styleId="xl9610701">
    <w:name w:val="xl96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sz w:val="28"/>
      <w:szCs w:val="28"/>
    </w:rPr>
  </w:style>
  <w:style w:type="paragraph" w:customStyle="1" w:styleId="xl9710701">
    <w:name w:val="xl97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 w:val="28"/>
      <w:szCs w:val="28"/>
    </w:rPr>
  </w:style>
  <w:style w:type="paragraph" w:customStyle="1" w:styleId="xl9810701">
    <w:name w:val="xl98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8"/>
      <w:szCs w:val="28"/>
    </w:rPr>
  </w:style>
  <w:style w:type="paragraph" w:customStyle="1" w:styleId="xl9910701">
    <w:name w:val="xl9910701"/>
    <w:basedOn w:val="a"/>
    <w:qFormat/>
    <w:rsid w:val="000816CE"/>
    <w:pPr>
      <w:widowControl/>
      <w:spacing w:before="100" w:beforeAutospacing="1" w:after="100" w:afterAutospacing="1"/>
      <w:jc w:val="center"/>
      <w:textAlignment w:val="center"/>
    </w:pPr>
    <w:rPr>
      <w:rFonts w:ascii="宋体" w:hAnsi="宋体" w:cs="宋体"/>
      <w:b/>
      <w:bCs/>
      <w:kern w:val="0"/>
      <w:sz w:val="40"/>
      <w:szCs w:val="40"/>
    </w:rPr>
  </w:style>
  <w:style w:type="paragraph" w:customStyle="1" w:styleId="xl10010701">
    <w:name w:val="xl10010701"/>
    <w:basedOn w:val="a"/>
    <w:qFormat/>
    <w:rsid w:val="000816CE"/>
    <w:pPr>
      <w:widowControl/>
      <w:spacing w:before="100" w:beforeAutospacing="1" w:after="100" w:afterAutospacing="1"/>
      <w:jc w:val="left"/>
      <w:textAlignment w:val="center"/>
    </w:pPr>
    <w:rPr>
      <w:rFonts w:ascii="宋体" w:hAnsi="宋体" w:cs="宋体"/>
      <w:b/>
      <w:bCs/>
      <w:kern w:val="0"/>
      <w:sz w:val="40"/>
      <w:szCs w:val="40"/>
    </w:rPr>
  </w:style>
  <w:style w:type="paragraph" w:customStyle="1" w:styleId="xl10110701">
    <w:name w:val="xl10110701"/>
    <w:basedOn w:val="a"/>
    <w:qFormat/>
    <w:rsid w:val="000816CE"/>
    <w:pPr>
      <w:widowControl/>
      <w:pBdr>
        <w:left w:val="single" w:sz="4" w:space="0" w:color="auto"/>
      </w:pBdr>
      <w:spacing w:before="100" w:beforeAutospacing="1" w:after="100" w:afterAutospacing="1"/>
      <w:jc w:val="left"/>
      <w:textAlignment w:val="center"/>
    </w:pPr>
    <w:rPr>
      <w:rFonts w:ascii="仿宋_GB2312" w:eastAsia="仿宋_GB2312" w:hAnsi="宋体" w:cs="宋体"/>
      <w:b/>
      <w:bCs/>
      <w:kern w:val="0"/>
      <w:sz w:val="28"/>
      <w:szCs w:val="28"/>
    </w:rPr>
  </w:style>
  <w:style w:type="paragraph" w:customStyle="1" w:styleId="xl10210701">
    <w:name w:val="xl10210701"/>
    <w:basedOn w:val="a"/>
    <w:qFormat/>
    <w:rsid w:val="000816CE"/>
    <w:pPr>
      <w:widowControl/>
      <w:spacing w:before="100" w:beforeAutospacing="1" w:after="100" w:afterAutospacing="1"/>
      <w:jc w:val="left"/>
      <w:textAlignment w:val="center"/>
    </w:pPr>
    <w:rPr>
      <w:rFonts w:ascii="仿宋_GB2312" w:eastAsia="仿宋_GB2312" w:hAnsi="宋体" w:cs="宋体"/>
      <w:b/>
      <w:bCs/>
      <w:kern w:val="0"/>
      <w:sz w:val="28"/>
      <w:szCs w:val="28"/>
    </w:rPr>
  </w:style>
  <w:style w:type="paragraph" w:customStyle="1" w:styleId="xl10310701">
    <w:name w:val="xl103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10410701">
    <w:name w:val="xl10410701"/>
    <w:basedOn w:val="a"/>
    <w:qFormat/>
    <w:rsid w:val="000816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character" w:customStyle="1" w:styleId="Char3">
    <w:name w:val="页眉 Char"/>
    <w:basedOn w:val="a0"/>
    <w:link w:val="a9"/>
    <w:uiPriority w:val="99"/>
    <w:qFormat/>
    <w:rsid w:val="000816CE"/>
    <w:rPr>
      <w:rFonts w:ascii="Calibri" w:hAnsi="Calibri"/>
      <w:kern w:val="2"/>
      <w:sz w:val="18"/>
      <w:szCs w:val="24"/>
    </w:rPr>
  </w:style>
  <w:style w:type="table" w:customStyle="1" w:styleId="11">
    <w:name w:val="网格型1"/>
    <w:basedOn w:val="a1"/>
    <w:qFormat/>
    <w:rsid w:val="000816CE"/>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01">
    <w:name w:val="font01"/>
    <w:basedOn w:val="a0"/>
    <w:qFormat/>
    <w:rsid w:val="000816CE"/>
    <w:rPr>
      <w:rFonts w:ascii="宋体" w:eastAsia="宋体" w:hAnsi="宋体" w:cs="宋体" w:hint="eastAsia"/>
      <w:color w:val="000000"/>
      <w:sz w:val="21"/>
      <w:szCs w:val="21"/>
      <w:u w:val="none"/>
    </w:rPr>
  </w:style>
  <w:style w:type="character" w:customStyle="1" w:styleId="font11">
    <w:name w:val="font11"/>
    <w:basedOn w:val="a0"/>
    <w:qFormat/>
    <w:rsid w:val="000816CE"/>
    <w:rPr>
      <w:rFonts w:ascii="宋体" w:eastAsia="宋体" w:hAnsi="宋体" w:cs="宋体" w:hint="eastAsia"/>
      <w:color w:val="000000"/>
      <w:sz w:val="21"/>
      <w:szCs w:val="21"/>
      <w:u w:val="none"/>
    </w:rPr>
  </w:style>
  <w:style w:type="paragraph" w:customStyle="1" w:styleId="WPSOffice1">
    <w:name w:val="WPSOffice手动目录 1"/>
    <w:qFormat/>
    <w:rsid w:val="000816CE"/>
  </w:style>
  <w:style w:type="paragraph" w:customStyle="1" w:styleId="WPSOffice2">
    <w:name w:val="WPSOffice手动目录 2"/>
    <w:qFormat/>
    <w:rsid w:val="000816CE"/>
    <w:pPr>
      <w:ind w:leftChars="200" w:left="2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0"/>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DF0D4-DD61-4D2A-8519-E5FC59240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8445</Words>
  <Characters>48141</Characters>
  <Application>Microsoft Office Word</Application>
  <DocSecurity>0</DocSecurity>
  <Lines>401</Lines>
  <Paragraphs>112</Paragraphs>
  <ScaleCrop>false</ScaleCrop>
  <Company>pesfgwghk</Company>
  <LinksUpToDate>false</LinksUpToDate>
  <CharactersWithSpaces>56474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梁名阳 普洱发改委规划科</dc:creator>
  <cp:lastModifiedBy>微软用户</cp:lastModifiedBy>
  <cp:revision>2</cp:revision>
  <cp:lastPrinted>2020-12-07T23:20:00Z</cp:lastPrinted>
  <dcterms:created xsi:type="dcterms:W3CDTF">2021-09-22T08:38:00Z</dcterms:created>
  <dcterms:modified xsi:type="dcterms:W3CDTF">2021-09-22T08:38:00Z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5E5A1FE706634686B92354789603E7ED</vt:lpwstr>
  </property>
</Properties>
</file>